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F766E"/>
          <w:sz w:val="24"/>
        </w:rPr>
        <w:t>KIT DIDACTIC · COMPONENTA 2/3</w:t>
      </w:r>
    </w:p>
    <w:p>
      <w:pPr>
        <w:jc w:val="center"/>
      </w:pPr>
      <w:r>
        <w:rPr>
          <w:b/>
          <w:color w:val="12315E"/>
          <w:sz w:val="52"/>
        </w:rPr>
        <w:t>Ghidul profesorului</w:t>
      </w:r>
    </w:p>
    <w:p>
      <w:pPr>
        <w:jc w:val="center"/>
      </w:pPr>
      <w:r>
        <w:rPr>
          <w:color w:val="334155"/>
          <w:sz w:val="26"/>
        </w:rPr>
        <w:t>Cum valorifici integral manualul de Matematică — la clasă, în lectura independentă, în proiecte, portofolii, AMII și activități de aprofundare</w:t>
      </w:r>
    </w:p>
    <w:p>
      <w:pPr>
        <w:jc w:val="center"/>
      </w:pPr>
      <w:r>
        <w:rPr>
          <w:b/>
          <w:color w:val="0F766E"/>
          <w:sz w:val="24"/>
        </w:rPr>
        <w:t>Clasa a IX-a · trunchi comun și curriculum de specialitate (TC+CS)</w:t>
        <w:br/>
        <w:t>Filiera teoretică · profil real · specializarea Matematică–Informatică</w:t>
      </w:r>
    </w:p>
    <w:p>
      <w:pPr>
        <w:jc w:val="center"/>
      </w:pPr>
      <w:r>
        <w:drawing>
          <wp:inline xmlns:a="http://schemas.openxmlformats.org/drawingml/2006/main" xmlns:pic="http://schemas.openxmlformats.org/drawingml/2006/picture">
            <wp:extent cx="3060000" cy="3879799"/>
            <wp:docPr id="1" name="Picture 1"/>
            <wp:cNvGraphicFramePr>
              <a:graphicFrameLocks noChangeAspect="1"/>
            </wp:cNvGraphicFramePr>
            <a:graphic>
              <a:graphicData uri="http://schemas.openxmlformats.org/drawingml/2006/picture">
                <pic:pic>
                  <pic:nvPicPr>
                    <pic:cNvPr id="0" name="manual_tc_cs_cover_thumb.png"/>
                    <pic:cNvPicPr/>
                  </pic:nvPicPr>
                  <pic:blipFill>
                    <a:blip r:embed="rId11"/>
                    <a:stretch>
                      <a:fillRect/>
                    </a:stretch>
                  </pic:blipFill>
                  <pic:spPr>
                    <a:xfrm>
                      <a:off x="0" y="0"/>
                      <a:ext cx="3060000" cy="3879799"/>
                    </a:xfrm>
                    <a:prstGeom prst="rect"/>
                  </pic:spPr>
                </pic:pic>
              </a:graphicData>
            </a:graphic>
          </wp:inline>
        </w:drawing>
      </w:r>
    </w:p>
    <w:tbl>
      <w:tblPr>
        <w:tblW w:type="auto" w:w="0"/>
        <w:jc w:val="center"/>
        <w:tblLook w:firstColumn="1" w:firstRow="1" w:lastColumn="0" w:lastRow="0" w:noHBand="0" w:noVBand="1" w:val="04A0"/>
      </w:tblPr>
      <w:tblGrid>
        <w:gridCol w:w="10426"/>
      </w:tblGrid>
      <w:tr>
        <w:tc>
          <w:tcPr>
            <w:tcW w:type="dxa" w:w="10426"/>
            <w:shd w:fill="DBEAFE"/>
          </w:tcPr>
          <w:p>
            <w:r>
              <w:rPr>
                <w:b/>
                <w:color w:val="0F766E"/>
                <w:sz w:val="22"/>
              </w:rPr>
              <w:t>De ce îți este util acest ghid</w:t>
            </w:r>
          </w:p>
          <w:p>
            <w:pPr>
              <w:spacing w:after="40"/>
            </w:pPr>
            <w:r>
              <w:t>Manualul TC+CS nu se citește liniar: se orchestrează. Ghidul explică de ce există fiecare componentă, când o folosești, cum o transformi în act didactic și cum o conectezi cu programa, cu planificarea anuală și cu resursele digitale.</w:t>
            </w:r>
          </w:p>
        </w:tc>
      </w:tr>
    </w:tbl>
    <w:p>
      <w:r>
        <w:br w:type="page"/>
      </w:r>
    </w:p>
    <w:p>
      <w:pPr>
        <w:pStyle w:val="Heading1"/>
      </w:pPr>
      <w:r>
        <w:t>Cuprins</w:t>
      </w:r>
    </w:p>
    <w:p>
      <w:pPr>
        <w:ind w:left="170"/>
      </w:pPr>
      <w:r>
        <w:rPr>
          <w:sz w:val="22"/>
        </w:rPr>
        <w:t>1. Cum este construit manualul TC+CS</w:t>
      </w:r>
    </w:p>
    <w:p>
      <w:pPr>
        <w:ind w:left="170"/>
      </w:pPr>
      <w:r>
        <w:rPr>
          <w:sz w:val="22"/>
        </w:rPr>
        <w:t>2. Rubricile în acțiune: de ce, când, cum</w:t>
      </w:r>
    </w:p>
    <w:p>
      <w:pPr>
        <w:ind w:left="170"/>
      </w:pPr>
      <w:r>
        <w:rPr>
          <w:sz w:val="22"/>
        </w:rPr>
        <w:t>3. Componenta digitală: AMII, jocuri și tehnologie</w:t>
      </w:r>
    </w:p>
    <w:p>
      <w:pPr>
        <w:ind w:left="170"/>
      </w:pPr>
      <w:r>
        <w:rPr>
          <w:sz w:val="22"/>
        </w:rPr>
        <w:t>4. Diferențiere: recuperare, consolidare, progres</w:t>
      </w:r>
    </w:p>
    <w:p>
      <w:pPr>
        <w:ind w:left="170"/>
      </w:pPr>
      <w:r>
        <w:rPr>
          <w:sz w:val="22"/>
        </w:rPr>
        <w:t>5. Evaluare, feedback și portofoliu</w:t>
      </w:r>
    </w:p>
    <w:p>
      <w:pPr>
        <w:ind w:left="170"/>
      </w:pPr>
      <w:r>
        <w:rPr>
          <w:sz w:val="22"/>
        </w:rPr>
        <w:t>6. Recomandări metodice pe unități de învățare</w:t>
      </w:r>
    </w:p>
    <w:p>
      <w:pPr>
        <w:ind w:left="170"/>
      </w:pPr>
      <w:r>
        <w:rPr>
          <w:sz w:val="22"/>
        </w:rPr>
        <w:t>7. Utilizarea celor 36 de ore la dispoziția profesorului</w:t>
      </w:r>
    </w:p>
    <w:p>
      <w:pPr>
        <w:ind w:left="170"/>
      </w:pPr>
      <w:r>
        <w:rPr>
          <w:sz w:val="22"/>
        </w:rPr>
        <w:t>8. Checklist rapid pentru profesor</w:t>
      </w:r>
    </w:p>
    <w:p>
      <w:r>
        <w:br w:type="page"/>
      </w:r>
    </w:p>
    <w:p>
      <w:pPr>
        <w:pStyle w:val="Heading1"/>
      </w:pPr>
      <w:r>
        <w:t>1. Cum este construit manualul TC+CS</w:t>
      </w:r>
    </w:p>
    <w:p>
      <w:r>
        <w:rPr>
          <w:b/>
        </w:rPr>
        <w:t xml:space="preserve">Manualul de Matematică pentru clasa a IX-a TC+CS </w:t>
      </w:r>
      <w:r>
        <w:t>este construit pentru un parcurs de patru ore pe săptămână, în care trunchiul comun se îmbină cu aprofundarea specifică specializării Matematică–Informatică. Accentul nu cade doar pe acoperirea conținuturilor, ci pe formarea unui mod de lucru: observare, investigație, argumentare, modelare, validare critică și transfer către informatică și domeniile STEM.</w:t>
      </w:r>
    </w:p>
    <w:tbl>
      <w:tblPr>
        <w:tblStyle w:val="TableGrid"/>
        <w:tblW w:type="auto" w:w="0"/>
        <w:jc w:val="center"/>
        <w:tblLook w:firstColumn="1" w:firstRow="1" w:lastColumn="0" w:lastRow="0" w:noHBand="0" w:noVBand="1" w:val="04A0"/>
      </w:tblPr>
      <w:tblGrid>
        <w:gridCol w:w="3475"/>
        <w:gridCol w:w="3475"/>
        <w:gridCol w:w="3475"/>
      </w:tblGrid>
      <w:tr>
        <w:tc>
          <w:tcPr>
            <w:tcW w:type="dxa" w:w="2098"/>
            <w:shd w:fill="0F766E"/>
            <w:vAlign w:val="top"/>
          </w:tcPr>
          <w:p>
            <w:r/>
            <w:r>
              <w:rPr>
                <w:b/>
                <w:color w:val="FFFFFF"/>
                <w:sz w:val="18"/>
              </w:rPr>
              <w:t>Componentă</w:t>
            </w:r>
          </w:p>
        </w:tc>
        <w:tc>
          <w:tcPr>
            <w:tcW w:type="dxa" w:w="3515"/>
            <w:shd w:fill="0F766E"/>
            <w:vAlign w:val="top"/>
          </w:tcPr>
          <w:p>
            <w:r/>
            <w:r>
              <w:rPr>
                <w:b/>
                <w:color w:val="FFFFFF"/>
                <w:sz w:val="18"/>
              </w:rPr>
              <w:t>Rol didactic</w:t>
            </w:r>
          </w:p>
        </w:tc>
        <w:tc>
          <w:tcPr>
            <w:tcW w:type="dxa" w:w="4082"/>
            <w:shd w:fill="0F766E"/>
            <w:vAlign w:val="top"/>
          </w:tcPr>
          <w:p>
            <w:r/>
            <w:r>
              <w:rPr>
                <w:b/>
                <w:color w:val="FFFFFF"/>
                <w:sz w:val="18"/>
              </w:rPr>
              <w:t>Cum o folosești</w:t>
            </w:r>
          </w:p>
        </w:tc>
      </w:tr>
      <w:tr>
        <w:tc>
          <w:tcPr>
            <w:tcW w:type="dxa" w:w="2098"/>
            <w:shd w:fill="F0FDF4"/>
            <w:vAlign w:val="top"/>
          </w:tcPr>
          <w:p>
            <w:r/>
            <w:r>
              <w:rPr>
                <w:b w:val="0"/>
                <w:sz w:val="17"/>
              </w:rPr>
              <w:t>Deschiderea de capitol</w:t>
            </w:r>
          </w:p>
        </w:tc>
        <w:tc>
          <w:tcPr>
            <w:tcW w:type="dxa" w:w="3515"/>
            <w:vAlign w:val="top"/>
          </w:tcPr>
          <w:p>
            <w:r/>
            <w:r>
              <w:rPr>
                <w:b w:val="0"/>
                <w:sz w:val="17"/>
              </w:rPr>
              <w:t>Creează miza conceptuală și oferă o intrare motivațională.</w:t>
            </w:r>
          </w:p>
        </w:tc>
        <w:tc>
          <w:tcPr>
            <w:tcW w:type="dxa" w:w="4082"/>
            <w:vAlign w:val="top"/>
          </w:tcPr>
          <w:p>
            <w:r/>
            <w:r>
              <w:rPr>
                <w:b w:val="0"/>
                <w:sz w:val="17"/>
              </w:rPr>
              <w:t>Pornește ora cu întrebarea-cheie; cere elevilor să formuleze așteptări și legături cu experiențe anterioare.</w:t>
            </w:r>
          </w:p>
        </w:tc>
      </w:tr>
      <w:tr>
        <w:tc>
          <w:tcPr>
            <w:tcW w:type="dxa" w:w="2098"/>
            <w:shd w:fill="F0FDF4"/>
            <w:vAlign w:val="top"/>
          </w:tcPr>
          <w:p>
            <w:r/>
            <w:r>
              <w:rPr>
                <w:b w:val="0"/>
                <w:sz w:val="17"/>
              </w:rPr>
              <w:t>Lecțiile</w:t>
            </w:r>
          </w:p>
        </w:tc>
        <w:tc>
          <w:tcPr>
            <w:tcW w:type="dxa" w:w="3515"/>
            <w:vAlign w:val="top"/>
          </w:tcPr>
          <w:p>
            <w:r/>
            <w:r>
              <w:rPr>
                <w:b w:val="0"/>
                <w:sz w:val="17"/>
              </w:rPr>
              <w:t>Construiesc gradual conceptele prin exemple, observații, demonstrații și exerciții.</w:t>
            </w:r>
          </w:p>
        </w:tc>
        <w:tc>
          <w:tcPr>
            <w:tcW w:type="dxa" w:w="4082"/>
            <w:vAlign w:val="top"/>
          </w:tcPr>
          <w:p>
            <w:r/>
            <w:r>
              <w:rPr>
                <w:b w:val="0"/>
                <w:sz w:val="17"/>
              </w:rPr>
              <w:t>Nu transforma manualul în dictare; folosește exemplele ca puncte de plecare pentru dialog matematic.</w:t>
            </w:r>
          </w:p>
        </w:tc>
      </w:tr>
      <w:tr>
        <w:tc>
          <w:tcPr>
            <w:tcW w:type="dxa" w:w="2098"/>
            <w:shd w:fill="F0FDF4"/>
            <w:vAlign w:val="top"/>
          </w:tcPr>
          <w:p>
            <w:r/>
            <w:r>
              <w:rPr>
                <w:b w:val="0"/>
                <w:sz w:val="17"/>
              </w:rPr>
              <w:t>Exercițiile propuse</w:t>
            </w:r>
          </w:p>
        </w:tc>
        <w:tc>
          <w:tcPr>
            <w:tcW w:type="dxa" w:w="3515"/>
            <w:vAlign w:val="top"/>
          </w:tcPr>
          <w:p>
            <w:r/>
            <w:r>
              <w:rPr>
                <w:b w:val="0"/>
                <w:sz w:val="17"/>
              </w:rPr>
              <w:t>Asigură consolidare, aplicare și aprofundare.</w:t>
            </w:r>
          </w:p>
        </w:tc>
        <w:tc>
          <w:tcPr>
            <w:tcW w:type="dxa" w:w="4082"/>
            <w:vAlign w:val="top"/>
          </w:tcPr>
          <w:p>
            <w:r/>
            <w:r>
              <w:rPr>
                <w:b w:val="0"/>
                <w:sz w:val="17"/>
              </w:rPr>
              <w:t>Repartizează diferențiat: sarcini de bază pentru toți, extinderi pentru progres și performanță.</w:t>
            </w:r>
          </w:p>
        </w:tc>
      </w:tr>
      <w:tr>
        <w:tc>
          <w:tcPr>
            <w:tcW w:type="dxa" w:w="2098"/>
            <w:shd w:fill="F0FDF4"/>
            <w:vAlign w:val="top"/>
          </w:tcPr>
          <w:p>
            <w:r/>
            <w:r>
              <w:rPr>
                <w:b w:val="0"/>
                <w:sz w:val="17"/>
              </w:rPr>
              <w:t>Testele de evaluare</w:t>
            </w:r>
          </w:p>
        </w:tc>
        <w:tc>
          <w:tcPr>
            <w:tcW w:type="dxa" w:w="3515"/>
            <w:vAlign w:val="top"/>
          </w:tcPr>
          <w:p>
            <w:r/>
            <w:r>
              <w:rPr>
                <w:b w:val="0"/>
                <w:sz w:val="17"/>
              </w:rPr>
              <w:t>Verifică transferul și rigoarea, nu doar calculul.</w:t>
            </w:r>
          </w:p>
        </w:tc>
        <w:tc>
          <w:tcPr>
            <w:tcW w:type="dxa" w:w="4082"/>
            <w:vAlign w:val="top"/>
          </w:tcPr>
          <w:p>
            <w:r/>
            <w:r>
              <w:rPr>
                <w:b w:val="0"/>
                <w:sz w:val="17"/>
              </w:rPr>
              <w:t>Folosește baremul ca instrument de feedback, nu doar ca instrument de notare.</w:t>
            </w:r>
          </w:p>
        </w:tc>
      </w:tr>
      <w:tr>
        <w:tc>
          <w:tcPr>
            <w:tcW w:type="dxa" w:w="2098"/>
            <w:shd w:fill="F0FDF4"/>
            <w:vAlign w:val="top"/>
          </w:tcPr>
          <w:p>
            <w:r/>
            <w:r>
              <w:rPr>
                <w:b w:val="0"/>
                <w:sz w:val="17"/>
              </w:rPr>
              <w:t>Matematica sub semnul întrebării</w:t>
            </w:r>
          </w:p>
        </w:tc>
        <w:tc>
          <w:tcPr>
            <w:tcW w:type="dxa" w:w="3515"/>
            <w:vAlign w:val="top"/>
          </w:tcPr>
          <w:p>
            <w:r/>
            <w:r>
              <w:rPr>
                <w:b w:val="0"/>
                <w:sz w:val="17"/>
              </w:rPr>
              <w:t>Dezvoltă gândirea critică, reflecția și judecata matematică.</w:t>
            </w:r>
          </w:p>
        </w:tc>
        <w:tc>
          <w:tcPr>
            <w:tcW w:type="dxa" w:w="4082"/>
            <w:vAlign w:val="top"/>
          </w:tcPr>
          <w:p>
            <w:r/>
            <w:r>
              <w:rPr>
                <w:b w:val="0"/>
                <w:sz w:val="17"/>
              </w:rPr>
              <w:t>Transformă provocarea în mini-dezbatere sau produs de portofoliu.</w:t>
            </w:r>
          </w:p>
        </w:tc>
      </w:tr>
      <w:tr>
        <w:tc>
          <w:tcPr>
            <w:tcW w:type="dxa" w:w="2098"/>
            <w:shd w:fill="F0FDF4"/>
            <w:vAlign w:val="top"/>
          </w:tcPr>
          <w:p>
            <w:r/>
            <w:r>
              <w:rPr>
                <w:b w:val="0"/>
                <w:sz w:val="17"/>
              </w:rPr>
              <w:t>AMII și jocuri</w:t>
            </w:r>
          </w:p>
        </w:tc>
        <w:tc>
          <w:tcPr>
            <w:tcW w:type="dxa" w:w="3515"/>
            <w:vAlign w:val="top"/>
          </w:tcPr>
          <w:p>
            <w:r/>
            <w:r>
              <w:rPr>
                <w:b w:val="0"/>
                <w:sz w:val="17"/>
              </w:rPr>
              <w:t>Susțin explorarea, simularea, feedbackul imediat și învățarea interactivă.</w:t>
            </w:r>
          </w:p>
        </w:tc>
        <w:tc>
          <w:tcPr>
            <w:tcW w:type="dxa" w:w="4082"/>
            <w:vAlign w:val="top"/>
          </w:tcPr>
          <w:p>
            <w:r/>
            <w:r>
              <w:rPr>
                <w:b w:val="0"/>
                <w:sz w:val="17"/>
              </w:rPr>
              <w:t>Leagă iconul AMII de momentul exact în care elevul are nevoie să vadă, să testeze sau să decidă.</w:t>
            </w:r>
          </w:p>
        </w:tc>
      </w:tr>
    </w:tbl>
    <w:tbl>
      <w:tblPr>
        <w:tblW w:type="auto" w:w="0"/>
        <w:jc w:val="center"/>
        <w:tblLook w:firstColumn="1" w:firstRow="1" w:lastColumn="0" w:lastRow="0" w:noHBand="0" w:noVBand="1" w:val="04A0"/>
      </w:tblPr>
      <w:tblGrid>
        <w:gridCol w:w="10426"/>
      </w:tblGrid>
      <w:tr>
        <w:tc>
          <w:tcPr>
            <w:tcW w:type="dxa" w:w="10426"/>
            <w:shd w:fill="F0FDF4"/>
          </w:tcPr>
          <w:p>
            <w:r>
              <w:rPr>
                <w:b/>
                <w:color w:val="0F766E"/>
                <w:sz w:val="22"/>
              </w:rPr>
              <w:t>Specificul TC+CS</w:t>
            </w:r>
          </w:p>
          <w:p>
            <w:pPr>
              <w:spacing w:after="40"/>
            </w:pPr>
            <w:r>
              <w:t>Față de un manual exclusiv de trunchi comun, manualul TC+CS presupune un ritm mai dens, exerciții mai tehnice, demonstrații mai frecvente și activități de cercetare/validare. Pentru profesor, provocarea este să păstreze rigoarea fără a transforma matematica într-un formalism opac.</w:t>
            </w:r>
          </w:p>
        </w:tc>
      </w:tr>
    </w:tbl>
    <w:p>
      <w:pPr>
        <w:pStyle w:val="Heading1"/>
      </w:pPr>
      <w:r>
        <w:t>2. Rubricile în acțiune: de ce, când, cum</w:t>
      </w:r>
    </w:p>
    <w:tbl>
      <w:tblPr>
        <w:tblStyle w:val="TableGrid"/>
        <w:tblW w:type="auto" w:w="0"/>
        <w:jc w:val="center"/>
        <w:tblLook w:firstColumn="1" w:firstRow="1" w:lastColumn="0" w:lastRow="0" w:noHBand="0" w:noVBand="1" w:val="04A0"/>
      </w:tblPr>
      <w:tblGrid>
        <w:gridCol w:w="2606"/>
        <w:gridCol w:w="2606"/>
        <w:gridCol w:w="2606"/>
        <w:gridCol w:w="2606"/>
      </w:tblGrid>
      <w:tr>
        <w:tc>
          <w:tcPr>
            <w:tcW w:type="dxa" w:w="1984"/>
            <w:shd w:fill="0F766E"/>
            <w:vAlign w:val="top"/>
          </w:tcPr>
          <w:p>
            <w:r/>
            <w:r>
              <w:rPr>
                <w:b/>
                <w:color w:val="FFFFFF"/>
                <w:sz w:val="18"/>
              </w:rPr>
              <w:t>Rubrică</w:t>
            </w:r>
          </w:p>
        </w:tc>
        <w:tc>
          <w:tcPr>
            <w:tcW w:type="dxa" w:w="2835"/>
            <w:shd w:fill="0F766E"/>
            <w:vAlign w:val="top"/>
          </w:tcPr>
          <w:p>
            <w:r/>
            <w:r>
              <w:rPr>
                <w:b/>
                <w:color w:val="FFFFFF"/>
                <w:sz w:val="18"/>
              </w:rPr>
              <w:t>De ce</w:t>
            </w:r>
          </w:p>
        </w:tc>
        <w:tc>
          <w:tcPr>
            <w:tcW w:type="dxa" w:w="1701"/>
            <w:shd w:fill="0F766E"/>
            <w:vAlign w:val="top"/>
          </w:tcPr>
          <w:p>
            <w:r/>
            <w:r>
              <w:rPr>
                <w:b/>
                <w:color w:val="FFFFFF"/>
                <w:sz w:val="18"/>
              </w:rPr>
              <w:t>Când</w:t>
            </w:r>
          </w:p>
        </w:tc>
        <w:tc>
          <w:tcPr>
            <w:tcW w:type="dxa" w:w="3685"/>
            <w:shd w:fill="0F766E"/>
            <w:vAlign w:val="top"/>
          </w:tcPr>
          <w:p>
            <w:r/>
            <w:r>
              <w:rPr>
                <w:b/>
                <w:color w:val="FFFFFF"/>
                <w:sz w:val="18"/>
              </w:rPr>
              <w:t>Cum</w:t>
            </w:r>
          </w:p>
        </w:tc>
      </w:tr>
      <w:tr>
        <w:tc>
          <w:tcPr>
            <w:tcW w:type="dxa" w:w="1984"/>
            <w:shd w:fill="F0FDF4"/>
            <w:vAlign w:val="top"/>
          </w:tcPr>
          <w:p>
            <w:r/>
            <w:r>
              <w:rPr>
                <w:b w:val="0"/>
                <w:sz w:val="17"/>
              </w:rPr>
              <w:t>Reflectă de la început</w:t>
            </w:r>
          </w:p>
        </w:tc>
        <w:tc>
          <w:tcPr>
            <w:tcW w:type="dxa" w:w="2835"/>
            <w:vAlign w:val="top"/>
          </w:tcPr>
          <w:p>
            <w:r/>
            <w:r>
              <w:rPr>
                <w:b w:val="0"/>
                <w:sz w:val="17"/>
              </w:rPr>
              <w:t>Activează cunoștințe și creează conflict cognitiv.</w:t>
            </w:r>
          </w:p>
        </w:tc>
        <w:tc>
          <w:tcPr>
            <w:tcW w:type="dxa" w:w="1701"/>
            <w:vAlign w:val="top"/>
          </w:tcPr>
          <w:p>
            <w:r/>
            <w:r>
              <w:rPr>
                <w:b w:val="0"/>
                <w:sz w:val="17"/>
              </w:rPr>
              <w:t>Primele 3–5 minute.</w:t>
            </w:r>
          </w:p>
        </w:tc>
        <w:tc>
          <w:tcPr>
            <w:tcW w:type="dxa" w:w="3685"/>
            <w:vAlign w:val="top"/>
          </w:tcPr>
          <w:p>
            <w:r/>
            <w:r>
              <w:rPr>
                <w:b w:val="0"/>
                <w:sz w:val="17"/>
              </w:rPr>
              <w:t>Cere răspunsuri scurte, apoi revino la ele după lecție.</w:t>
            </w:r>
          </w:p>
        </w:tc>
      </w:tr>
      <w:tr>
        <w:tc>
          <w:tcPr>
            <w:tcW w:type="dxa" w:w="1984"/>
            <w:shd w:fill="F0FDF4"/>
            <w:vAlign w:val="top"/>
          </w:tcPr>
          <w:p>
            <w:r/>
            <w:r>
              <w:rPr>
                <w:b w:val="0"/>
                <w:sz w:val="17"/>
              </w:rPr>
              <w:t>Situație reală și modelare</w:t>
            </w:r>
          </w:p>
        </w:tc>
        <w:tc>
          <w:tcPr>
            <w:tcW w:type="dxa" w:w="2835"/>
            <w:vAlign w:val="top"/>
          </w:tcPr>
          <w:p>
            <w:r/>
            <w:r>
              <w:rPr>
                <w:b w:val="0"/>
                <w:sz w:val="17"/>
              </w:rPr>
              <w:t>Leagă conceptul de o problemă care merită matematizată.</w:t>
            </w:r>
          </w:p>
        </w:tc>
        <w:tc>
          <w:tcPr>
            <w:tcW w:type="dxa" w:w="1701"/>
            <w:vAlign w:val="top"/>
          </w:tcPr>
          <w:p>
            <w:r/>
            <w:r>
              <w:rPr>
                <w:b w:val="0"/>
                <w:sz w:val="17"/>
              </w:rPr>
              <w:t>Înaintea formalizării.</w:t>
            </w:r>
          </w:p>
        </w:tc>
        <w:tc>
          <w:tcPr>
            <w:tcW w:type="dxa" w:w="3685"/>
            <w:vAlign w:val="top"/>
          </w:tcPr>
          <w:p>
            <w:r/>
            <w:r>
              <w:rPr>
                <w:b w:val="0"/>
                <w:sz w:val="17"/>
              </w:rPr>
              <w:t>Identificați variabilele, ipotezele și limitele modelului.</w:t>
            </w:r>
          </w:p>
        </w:tc>
      </w:tr>
      <w:tr>
        <w:tc>
          <w:tcPr>
            <w:tcW w:type="dxa" w:w="1984"/>
            <w:shd w:fill="F0FDF4"/>
            <w:vAlign w:val="top"/>
          </w:tcPr>
          <w:p>
            <w:r/>
            <w:r>
              <w:rPr>
                <w:b w:val="0"/>
                <w:sz w:val="17"/>
              </w:rPr>
              <w:t>Reținem</w:t>
            </w:r>
          </w:p>
        </w:tc>
        <w:tc>
          <w:tcPr>
            <w:tcW w:type="dxa" w:w="2835"/>
            <w:vAlign w:val="top"/>
          </w:tcPr>
          <w:p>
            <w:r/>
            <w:r>
              <w:rPr>
                <w:b w:val="0"/>
                <w:sz w:val="17"/>
              </w:rPr>
              <w:t>Fixează definiția sau proprietatea în limbaj riguros.</w:t>
            </w:r>
          </w:p>
        </w:tc>
        <w:tc>
          <w:tcPr>
            <w:tcW w:type="dxa" w:w="1701"/>
            <w:vAlign w:val="top"/>
          </w:tcPr>
          <w:p>
            <w:r/>
            <w:r>
              <w:rPr>
                <w:b w:val="0"/>
                <w:sz w:val="17"/>
              </w:rPr>
              <w:t>După explorare.</w:t>
            </w:r>
          </w:p>
        </w:tc>
        <w:tc>
          <w:tcPr>
            <w:tcW w:type="dxa" w:w="3685"/>
            <w:vAlign w:val="top"/>
          </w:tcPr>
          <w:p>
            <w:r/>
            <w:r>
              <w:rPr>
                <w:b w:val="0"/>
                <w:sz w:val="17"/>
              </w:rPr>
              <w:t>Compară formularea elevilor cu formularea din manual.</w:t>
            </w:r>
          </w:p>
        </w:tc>
      </w:tr>
      <w:tr>
        <w:tc>
          <w:tcPr>
            <w:tcW w:type="dxa" w:w="1984"/>
            <w:shd w:fill="F0FDF4"/>
            <w:vAlign w:val="top"/>
          </w:tcPr>
          <w:p>
            <w:r/>
            <w:r>
              <w:rPr>
                <w:b w:val="0"/>
                <w:sz w:val="17"/>
              </w:rPr>
              <w:t>Reflectăm</w:t>
            </w:r>
          </w:p>
        </w:tc>
        <w:tc>
          <w:tcPr>
            <w:tcW w:type="dxa" w:w="2835"/>
            <w:vAlign w:val="top"/>
          </w:tcPr>
          <w:p>
            <w:r/>
            <w:r>
              <w:rPr>
                <w:b w:val="0"/>
                <w:sz w:val="17"/>
              </w:rPr>
              <w:t>Cere argument, contraexemplu, interpretare.</w:t>
            </w:r>
          </w:p>
        </w:tc>
        <w:tc>
          <w:tcPr>
            <w:tcW w:type="dxa" w:w="1701"/>
            <w:vAlign w:val="top"/>
          </w:tcPr>
          <w:p>
            <w:r/>
            <w:r>
              <w:rPr>
                <w:b w:val="0"/>
                <w:sz w:val="17"/>
              </w:rPr>
              <w:t>După un pas conceptual important.</w:t>
            </w:r>
          </w:p>
        </w:tc>
        <w:tc>
          <w:tcPr>
            <w:tcW w:type="dxa" w:w="3685"/>
            <w:vAlign w:val="top"/>
          </w:tcPr>
          <w:p>
            <w:r/>
            <w:r>
              <w:rPr>
                <w:b w:val="0"/>
                <w:sz w:val="17"/>
              </w:rPr>
              <w:t>Folosește perechi: întâi răspuns individual, apoi confruntare argumentată.</w:t>
            </w:r>
          </w:p>
        </w:tc>
      </w:tr>
      <w:tr>
        <w:tc>
          <w:tcPr>
            <w:tcW w:type="dxa" w:w="1984"/>
            <w:shd w:fill="F0FDF4"/>
            <w:vAlign w:val="top"/>
          </w:tcPr>
          <w:p>
            <w:r/>
            <w:r>
              <w:rPr>
                <w:b w:val="0"/>
                <w:sz w:val="17"/>
              </w:rPr>
              <w:t>Exerciții rezolvate</w:t>
            </w:r>
          </w:p>
        </w:tc>
        <w:tc>
          <w:tcPr>
            <w:tcW w:type="dxa" w:w="2835"/>
            <w:vAlign w:val="top"/>
          </w:tcPr>
          <w:p>
            <w:r/>
            <w:r>
              <w:rPr>
                <w:b w:val="0"/>
                <w:sz w:val="17"/>
              </w:rPr>
              <w:t>Modelează pașii unei rezolvări corecte.</w:t>
            </w:r>
          </w:p>
        </w:tc>
        <w:tc>
          <w:tcPr>
            <w:tcW w:type="dxa" w:w="1701"/>
            <w:vAlign w:val="top"/>
          </w:tcPr>
          <w:p>
            <w:r/>
            <w:r>
              <w:rPr>
                <w:b w:val="0"/>
                <w:sz w:val="17"/>
              </w:rPr>
              <w:t>În predarea ghidată.</w:t>
            </w:r>
          </w:p>
        </w:tc>
        <w:tc>
          <w:tcPr>
            <w:tcW w:type="dxa" w:w="3685"/>
            <w:vAlign w:val="top"/>
          </w:tcPr>
          <w:p>
            <w:r/>
            <w:r>
              <w:rPr>
                <w:b w:val="0"/>
                <w:sz w:val="17"/>
              </w:rPr>
              <w:t>Acoperă parțial soluția și cere elevilor să anticipeze pasul următor.</w:t>
            </w:r>
          </w:p>
        </w:tc>
      </w:tr>
      <w:tr>
        <w:tc>
          <w:tcPr>
            <w:tcW w:type="dxa" w:w="1984"/>
            <w:shd w:fill="F0FDF4"/>
            <w:vAlign w:val="top"/>
          </w:tcPr>
          <w:p>
            <w:r/>
            <w:r>
              <w:rPr>
                <w:b w:val="0"/>
                <w:sz w:val="17"/>
              </w:rPr>
              <w:t>Exerciții propuse</w:t>
            </w:r>
          </w:p>
        </w:tc>
        <w:tc>
          <w:tcPr>
            <w:tcW w:type="dxa" w:w="2835"/>
            <w:vAlign w:val="top"/>
          </w:tcPr>
          <w:p>
            <w:r/>
            <w:r>
              <w:rPr>
                <w:b w:val="0"/>
                <w:sz w:val="17"/>
              </w:rPr>
              <w:t>Asigură exersare și diferențiere.</w:t>
            </w:r>
          </w:p>
        </w:tc>
        <w:tc>
          <w:tcPr>
            <w:tcW w:type="dxa" w:w="1701"/>
            <w:vAlign w:val="top"/>
          </w:tcPr>
          <w:p>
            <w:r/>
            <w:r>
              <w:rPr>
                <w:b w:val="0"/>
                <w:sz w:val="17"/>
              </w:rPr>
              <w:t>În consolidare și temă.</w:t>
            </w:r>
          </w:p>
        </w:tc>
        <w:tc>
          <w:tcPr>
            <w:tcW w:type="dxa" w:w="3685"/>
            <w:vAlign w:val="top"/>
          </w:tcPr>
          <w:p>
            <w:r/>
            <w:r>
              <w:rPr>
                <w:b w:val="0"/>
                <w:sz w:val="17"/>
              </w:rPr>
              <w:t>Planifică trasee: minim comun, aplicare, aprofundare.</w:t>
            </w:r>
          </w:p>
        </w:tc>
      </w:tr>
      <w:tr>
        <w:tc>
          <w:tcPr>
            <w:tcW w:type="dxa" w:w="1984"/>
            <w:shd w:fill="F0FDF4"/>
            <w:vAlign w:val="top"/>
          </w:tcPr>
          <w:p>
            <w:r/>
            <w:r>
              <w:rPr>
                <w:b w:val="0"/>
                <w:sz w:val="17"/>
              </w:rPr>
              <w:t>Matematica sub semnul întrebării</w:t>
            </w:r>
          </w:p>
        </w:tc>
        <w:tc>
          <w:tcPr>
            <w:tcW w:type="dxa" w:w="2835"/>
            <w:vAlign w:val="top"/>
          </w:tcPr>
          <w:p>
            <w:r/>
            <w:r>
              <w:rPr>
                <w:b w:val="0"/>
                <w:sz w:val="17"/>
              </w:rPr>
              <w:t>Dezvoltă discernământul matematic.</w:t>
            </w:r>
          </w:p>
        </w:tc>
        <w:tc>
          <w:tcPr>
            <w:tcW w:type="dxa" w:w="1701"/>
            <w:vAlign w:val="top"/>
          </w:tcPr>
          <w:p>
            <w:r/>
            <w:r>
              <w:rPr>
                <w:b w:val="0"/>
                <w:sz w:val="17"/>
              </w:rPr>
              <w:t>La final de lecție/unitate.</w:t>
            </w:r>
          </w:p>
        </w:tc>
        <w:tc>
          <w:tcPr>
            <w:tcW w:type="dxa" w:w="3685"/>
            <w:vAlign w:val="top"/>
          </w:tcPr>
          <w:p>
            <w:r/>
            <w:r>
              <w:rPr>
                <w:b w:val="0"/>
                <w:sz w:val="17"/>
              </w:rPr>
              <w:t>Folosește ca portofoliu de gândire critică.</w:t>
            </w:r>
          </w:p>
        </w:tc>
      </w:tr>
      <w:tr>
        <w:tc>
          <w:tcPr>
            <w:tcW w:type="dxa" w:w="1984"/>
            <w:shd w:fill="F0FDF4"/>
            <w:vAlign w:val="top"/>
          </w:tcPr>
          <w:p>
            <w:r/>
            <w:r>
              <w:rPr>
                <w:b w:val="0"/>
                <w:sz w:val="17"/>
              </w:rPr>
              <w:t>(Auto)evaluare</w:t>
            </w:r>
          </w:p>
        </w:tc>
        <w:tc>
          <w:tcPr>
            <w:tcW w:type="dxa" w:w="2835"/>
            <w:vAlign w:val="top"/>
          </w:tcPr>
          <w:p>
            <w:r/>
            <w:r>
              <w:rPr>
                <w:b w:val="0"/>
                <w:sz w:val="17"/>
              </w:rPr>
              <w:t>Sprijină autoreglarea.</w:t>
            </w:r>
          </w:p>
        </w:tc>
        <w:tc>
          <w:tcPr>
            <w:tcW w:type="dxa" w:w="1701"/>
            <w:vAlign w:val="top"/>
          </w:tcPr>
          <w:p>
            <w:r/>
            <w:r>
              <w:rPr>
                <w:b w:val="0"/>
                <w:sz w:val="17"/>
              </w:rPr>
              <w:t>La final de lecție/unitate.</w:t>
            </w:r>
          </w:p>
        </w:tc>
        <w:tc>
          <w:tcPr>
            <w:tcW w:type="dxa" w:w="3685"/>
            <w:vAlign w:val="top"/>
          </w:tcPr>
          <w:p>
            <w:r/>
            <w:r>
              <w:rPr>
                <w:b w:val="0"/>
                <w:sz w:val="17"/>
              </w:rPr>
              <w:t>Cere corectare ghidată și formularea unei erori tipice.</w:t>
            </w:r>
          </w:p>
        </w:tc>
      </w:tr>
    </w:tbl>
    <w:p>
      <w:pPr>
        <w:pStyle w:val="Heading1"/>
      </w:pPr>
      <w:r>
        <w:t>3. Componenta digitală: AMII, jocuri și tehnologie</w:t>
      </w:r>
    </w:p>
    <w:p>
      <w:r>
        <w:t>Manualul TC+CS valorifică varianta digitală prin resurse de tip Rezolvă, Privește și Vizionează. În plus, pachetul poate fi extins cu AMII-uri HTML5 autonome, jocuri de strategie și simulări care pot fi legate de iconurile din manualul digital.</w:t>
      </w:r>
    </w:p>
    <w:tbl>
      <w:tblPr>
        <w:tblStyle w:val="TableGrid"/>
        <w:tblW w:type="auto" w:w="0"/>
        <w:jc w:val="center"/>
        <w:tblLook w:firstColumn="1" w:firstRow="1" w:lastColumn="0" w:lastRow="0" w:noHBand="0" w:noVBand="1" w:val="04A0"/>
      </w:tblPr>
      <w:tblGrid>
        <w:gridCol w:w="3475"/>
        <w:gridCol w:w="3475"/>
        <w:gridCol w:w="3475"/>
      </w:tblGrid>
      <w:tr>
        <w:tc>
          <w:tcPr>
            <w:tcW w:type="dxa" w:w="2268"/>
            <w:shd w:fill="0F766E"/>
            <w:vAlign w:val="top"/>
          </w:tcPr>
          <w:p>
            <w:r/>
            <w:r>
              <w:rPr>
                <w:b/>
                <w:color w:val="FFFFFF"/>
                <w:sz w:val="18"/>
              </w:rPr>
              <w:t>Tip resursă</w:t>
            </w:r>
          </w:p>
        </w:tc>
        <w:tc>
          <w:tcPr>
            <w:tcW w:type="dxa" w:w="3118"/>
            <w:shd w:fill="0F766E"/>
            <w:vAlign w:val="top"/>
          </w:tcPr>
          <w:p>
            <w:r/>
            <w:r>
              <w:rPr>
                <w:b/>
                <w:color w:val="FFFFFF"/>
                <w:sz w:val="18"/>
              </w:rPr>
              <w:t>Exemple</w:t>
            </w:r>
          </w:p>
        </w:tc>
        <w:tc>
          <w:tcPr>
            <w:tcW w:type="dxa" w:w="4819"/>
            <w:shd w:fill="0F766E"/>
            <w:vAlign w:val="top"/>
          </w:tcPr>
          <w:p>
            <w:r/>
            <w:r>
              <w:rPr>
                <w:b/>
                <w:color w:val="FFFFFF"/>
                <w:sz w:val="18"/>
              </w:rPr>
              <w:t>Când devine utilă</w:t>
            </w:r>
          </w:p>
        </w:tc>
      </w:tr>
      <w:tr>
        <w:tc>
          <w:tcPr>
            <w:tcW w:type="dxa" w:w="2268"/>
            <w:shd w:fill="F0FDF4"/>
            <w:vAlign w:val="top"/>
          </w:tcPr>
          <w:p>
            <w:r/>
            <w:r>
              <w:rPr>
                <w:b w:val="0"/>
                <w:sz w:val="17"/>
              </w:rPr>
              <w:t>AMII interactiv</w:t>
            </w:r>
          </w:p>
        </w:tc>
        <w:tc>
          <w:tcPr>
            <w:tcW w:type="dxa" w:w="3118"/>
            <w:vAlign w:val="top"/>
          </w:tcPr>
          <w:p>
            <w:r/>
            <w:r>
              <w:rPr>
                <w:b w:val="0"/>
                <w:sz w:val="17"/>
              </w:rPr>
              <w:t>Operatori logici, implicație, tabele de adevăr, funcție afină, parabolă, radical.</w:t>
            </w:r>
          </w:p>
        </w:tc>
        <w:tc>
          <w:tcPr>
            <w:tcW w:type="dxa" w:w="4819"/>
            <w:vAlign w:val="top"/>
          </w:tcPr>
          <w:p>
            <w:r/>
            <w:r>
              <w:rPr>
                <w:b w:val="0"/>
                <w:sz w:val="17"/>
              </w:rPr>
              <w:t>Când elevul trebuie să testeze rapid cazuri și să primească feedback imediat.</w:t>
            </w:r>
          </w:p>
        </w:tc>
      </w:tr>
      <w:tr>
        <w:tc>
          <w:tcPr>
            <w:tcW w:type="dxa" w:w="2268"/>
            <w:shd w:fill="F0FDF4"/>
            <w:vAlign w:val="top"/>
          </w:tcPr>
          <w:p>
            <w:r/>
            <w:r>
              <w:rPr>
                <w:b w:val="0"/>
                <w:sz w:val="17"/>
              </w:rPr>
              <w:t>Simulare</w:t>
            </w:r>
          </w:p>
        </w:tc>
        <w:tc>
          <w:tcPr>
            <w:tcW w:type="dxa" w:w="3118"/>
            <w:vAlign w:val="top"/>
          </w:tcPr>
          <w:p>
            <w:r/>
            <w:r>
              <w:rPr>
                <w:b w:val="0"/>
                <w:sz w:val="17"/>
              </w:rPr>
              <w:t>Dobândă compusă, parabole cu parametru, sinus/cosinus.</w:t>
            </w:r>
          </w:p>
        </w:tc>
        <w:tc>
          <w:tcPr>
            <w:tcW w:type="dxa" w:w="4819"/>
            <w:vAlign w:val="top"/>
          </w:tcPr>
          <w:p>
            <w:r/>
            <w:r>
              <w:rPr>
                <w:b w:val="0"/>
                <w:sz w:val="17"/>
              </w:rPr>
              <w:t>Când un parametru modifică vizibil comportamentul matematic.</w:t>
            </w:r>
          </w:p>
        </w:tc>
      </w:tr>
      <w:tr>
        <w:tc>
          <w:tcPr>
            <w:tcW w:type="dxa" w:w="2268"/>
            <w:shd w:fill="F0FDF4"/>
            <w:vAlign w:val="top"/>
          </w:tcPr>
          <w:p>
            <w:r/>
            <w:r>
              <w:rPr>
                <w:b w:val="0"/>
                <w:sz w:val="17"/>
              </w:rPr>
              <w:t>Joc de strategie</w:t>
            </w:r>
          </w:p>
        </w:tc>
        <w:tc>
          <w:tcPr>
            <w:tcW w:type="dxa" w:w="3118"/>
            <w:vAlign w:val="top"/>
          </w:tcPr>
          <w:p>
            <w:r/>
            <w:r>
              <w:rPr>
                <w:b w:val="0"/>
                <w:sz w:val="17"/>
              </w:rPr>
              <w:t>Avioane carteziene, Radarul trigonometric, Misiunea triangulației.</w:t>
            </w:r>
          </w:p>
        </w:tc>
        <w:tc>
          <w:tcPr>
            <w:tcW w:type="dxa" w:w="4819"/>
            <w:vAlign w:val="top"/>
          </w:tcPr>
          <w:p>
            <w:r/>
            <w:r>
              <w:rPr>
                <w:b w:val="0"/>
                <w:sz w:val="17"/>
              </w:rPr>
              <w:t>Când se urmărește trecerea de la cunoaștere declarativă la decizie.</w:t>
            </w:r>
          </w:p>
        </w:tc>
      </w:tr>
      <w:tr>
        <w:tc>
          <w:tcPr>
            <w:tcW w:type="dxa" w:w="2268"/>
            <w:shd w:fill="F0FDF4"/>
            <w:vAlign w:val="top"/>
          </w:tcPr>
          <w:p>
            <w:r/>
            <w:r>
              <w:rPr>
                <w:b w:val="0"/>
                <w:sz w:val="17"/>
              </w:rPr>
              <w:t>IA asistivă</w:t>
            </w:r>
          </w:p>
        </w:tc>
        <w:tc>
          <w:tcPr>
            <w:tcW w:type="dxa" w:w="3118"/>
            <w:vAlign w:val="top"/>
          </w:tcPr>
          <w:p>
            <w:r/>
            <w:r>
              <w:rPr>
                <w:b w:val="0"/>
                <w:sz w:val="17"/>
              </w:rPr>
              <w:t>Verificarea unei demonstrații, identificarea unei erori, compararea soluțiilor.</w:t>
            </w:r>
          </w:p>
        </w:tc>
        <w:tc>
          <w:tcPr>
            <w:tcW w:type="dxa" w:w="4819"/>
            <w:vAlign w:val="top"/>
          </w:tcPr>
          <w:p>
            <w:r/>
            <w:r>
              <w:rPr>
                <w:b w:val="0"/>
                <w:sz w:val="17"/>
              </w:rPr>
              <w:t>Când elevul poate valida critic răspunsul și poate explica limitele acestuia.</w:t>
            </w:r>
          </w:p>
        </w:tc>
      </w:tr>
      <w:tr>
        <w:tc>
          <w:tcPr>
            <w:tcW w:type="dxa" w:w="2268"/>
            <w:shd w:fill="F0FDF4"/>
            <w:vAlign w:val="top"/>
          </w:tcPr>
          <w:p>
            <w:r/>
            <w:r>
              <w:rPr>
                <w:b w:val="0"/>
                <w:sz w:val="17"/>
              </w:rPr>
              <w:t>Instrumente digitale</w:t>
            </w:r>
          </w:p>
        </w:tc>
        <w:tc>
          <w:tcPr>
            <w:tcW w:type="dxa" w:w="3118"/>
            <w:vAlign w:val="top"/>
          </w:tcPr>
          <w:p>
            <w:r/>
            <w:r>
              <w:rPr>
                <w:b w:val="0"/>
                <w:sz w:val="17"/>
              </w:rPr>
              <w:t>GeoGebra, Desmos, Python, foi de calcul.</w:t>
            </w:r>
          </w:p>
        </w:tc>
        <w:tc>
          <w:tcPr>
            <w:tcW w:type="dxa" w:w="4819"/>
            <w:vAlign w:val="top"/>
          </w:tcPr>
          <w:p>
            <w:r/>
            <w:r>
              <w:rPr>
                <w:b w:val="0"/>
                <w:sz w:val="17"/>
              </w:rPr>
              <w:t>Pentru explorare, reprezentare, verificare și modelare.</w:t>
            </w:r>
          </w:p>
        </w:tc>
      </w:tr>
    </w:tbl>
    <w:tbl>
      <w:tblPr>
        <w:tblW w:type="auto" w:w="0"/>
        <w:jc w:val="center"/>
        <w:tblLook w:firstColumn="1" w:firstRow="1" w:lastColumn="0" w:lastRow="0" w:noHBand="0" w:noVBand="1" w:val="04A0"/>
      </w:tblPr>
      <w:tblGrid>
        <w:gridCol w:w="10426"/>
      </w:tblGrid>
      <w:tr>
        <w:tc>
          <w:tcPr>
            <w:tcW w:type="dxa" w:w="10426"/>
            <w:shd w:fill="FEF3C7"/>
          </w:tcPr>
          <w:p>
            <w:r>
              <w:rPr>
                <w:b/>
                <w:color w:val="0F766E"/>
                <w:sz w:val="22"/>
              </w:rPr>
              <w:t>Regula de aur pentru tehnologie</w:t>
            </w:r>
          </w:p>
          <w:p>
            <w:pPr>
              <w:spacing w:after="40"/>
            </w:pPr>
            <w:r>
              <w:t>Tehnologia accelerează explorarea, dar nu înlocuiește demonstrația, explicația și decizia. Elevul trebuie să poată spune nu doar ce rezultat a obținut, ci de ce rezultatul este corect și în ce condiții este relevant.</w:t>
            </w:r>
          </w:p>
        </w:tc>
      </w:tr>
    </w:tbl>
    <w:p>
      <w:pPr>
        <w:pStyle w:val="Heading1"/>
      </w:pPr>
      <w:r>
        <w:t>4. Diferențiere: recuperare, consolidare, progres</w:t>
      </w:r>
    </w:p>
    <w:p>
      <w:r>
        <w:t>La specializarea Matematică–Informatică, diferențierea nu înseamnă simplificarea parcursului, ci organizarea mai inteligentă a accesului la rigoare. Aceeași lecție poate avea trei trasee de lucru.</w:t>
      </w:r>
    </w:p>
    <w:tbl>
      <w:tblPr>
        <w:tblStyle w:val="TableGrid"/>
        <w:tblW w:type="auto" w:w="0"/>
        <w:jc w:val="center"/>
        <w:tblLook w:firstColumn="1" w:firstRow="1" w:lastColumn="0" w:lastRow="0" w:noHBand="0" w:noVBand="1" w:val="04A0"/>
      </w:tblPr>
      <w:tblGrid>
        <w:gridCol w:w="2606"/>
        <w:gridCol w:w="2606"/>
        <w:gridCol w:w="2606"/>
        <w:gridCol w:w="2606"/>
      </w:tblGrid>
      <w:tr>
        <w:tc>
          <w:tcPr>
            <w:tcW w:type="dxa" w:w="2268"/>
            <w:shd w:fill="0F766E"/>
            <w:vAlign w:val="top"/>
          </w:tcPr>
          <w:p>
            <w:r/>
            <w:r>
              <w:rPr>
                <w:b/>
                <w:color w:val="FFFFFF"/>
                <w:sz w:val="18"/>
              </w:rPr>
              <w:t>Traseu</w:t>
            </w:r>
          </w:p>
        </w:tc>
        <w:tc>
          <w:tcPr>
            <w:tcW w:type="dxa" w:w="2551"/>
            <w:shd w:fill="0F766E"/>
            <w:vAlign w:val="top"/>
          </w:tcPr>
          <w:p>
            <w:r/>
            <w:r>
              <w:rPr>
                <w:b/>
                <w:color w:val="FFFFFF"/>
                <w:sz w:val="18"/>
              </w:rPr>
              <w:t>Pentru cine</w:t>
            </w:r>
          </w:p>
        </w:tc>
        <w:tc>
          <w:tcPr>
            <w:tcW w:type="dxa" w:w="3402"/>
            <w:shd w:fill="0F766E"/>
            <w:vAlign w:val="top"/>
          </w:tcPr>
          <w:p>
            <w:r/>
            <w:r>
              <w:rPr>
                <w:b/>
                <w:color w:val="FFFFFF"/>
                <w:sz w:val="18"/>
              </w:rPr>
              <w:t>Sarcini potrivite</w:t>
            </w:r>
          </w:p>
        </w:tc>
        <w:tc>
          <w:tcPr>
            <w:tcW w:type="dxa" w:w="2835"/>
            <w:shd w:fill="0F766E"/>
            <w:vAlign w:val="top"/>
          </w:tcPr>
          <w:p>
            <w:r/>
            <w:r>
              <w:rPr>
                <w:b/>
                <w:color w:val="FFFFFF"/>
                <w:sz w:val="18"/>
              </w:rPr>
              <w:t>Dovadă de progres</w:t>
            </w:r>
          </w:p>
        </w:tc>
      </w:tr>
      <w:tr>
        <w:tc>
          <w:tcPr>
            <w:tcW w:type="dxa" w:w="2268"/>
            <w:shd w:fill="F0FDF4"/>
            <w:vAlign w:val="top"/>
          </w:tcPr>
          <w:p>
            <w:r/>
            <w:r>
              <w:rPr>
                <w:b w:val="0"/>
                <w:sz w:val="17"/>
              </w:rPr>
              <w:t>Nivel 1 — ancorare</w:t>
            </w:r>
          </w:p>
        </w:tc>
        <w:tc>
          <w:tcPr>
            <w:tcW w:type="dxa" w:w="2551"/>
            <w:vAlign w:val="top"/>
          </w:tcPr>
          <w:p>
            <w:r/>
            <w:r>
              <w:rPr>
                <w:b w:val="0"/>
                <w:sz w:val="17"/>
              </w:rPr>
              <w:t>Elevi care au nevoie de stabilizarea conceptelor.</w:t>
            </w:r>
          </w:p>
        </w:tc>
        <w:tc>
          <w:tcPr>
            <w:tcW w:type="dxa" w:w="3402"/>
            <w:vAlign w:val="top"/>
          </w:tcPr>
          <w:p>
            <w:r/>
            <w:r>
              <w:rPr>
                <w:b w:val="0"/>
                <w:sz w:val="17"/>
              </w:rPr>
              <w:t>Exerciții directe, recunoaștere, completare de pași.</w:t>
            </w:r>
          </w:p>
        </w:tc>
        <w:tc>
          <w:tcPr>
            <w:tcW w:type="dxa" w:w="2835"/>
            <w:vAlign w:val="top"/>
          </w:tcPr>
          <w:p>
            <w:r/>
            <w:r>
              <w:rPr>
                <w:b w:val="0"/>
                <w:sz w:val="17"/>
              </w:rPr>
              <w:t>Poate aplica definiția în cazuri simple.</w:t>
            </w:r>
          </w:p>
        </w:tc>
      </w:tr>
      <w:tr>
        <w:tc>
          <w:tcPr>
            <w:tcW w:type="dxa" w:w="2268"/>
            <w:shd w:fill="F0FDF4"/>
            <w:vAlign w:val="top"/>
          </w:tcPr>
          <w:p>
            <w:r/>
            <w:r>
              <w:rPr>
                <w:b w:val="0"/>
                <w:sz w:val="17"/>
              </w:rPr>
              <w:t>Nivel 2 — aplicare</w:t>
            </w:r>
          </w:p>
        </w:tc>
        <w:tc>
          <w:tcPr>
            <w:tcW w:type="dxa" w:w="2551"/>
            <w:vAlign w:val="top"/>
          </w:tcPr>
          <w:p>
            <w:r/>
            <w:r>
              <w:rPr>
                <w:b w:val="0"/>
                <w:sz w:val="17"/>
              </w:rPr>
              <w:t>Majoritatea clasei.</w:t>
            </w:r>
          </w:p>
        </w:tc>
        <w:tc>
          <w:tcPr>
            <w:tcW w:type="dxa" w:w="3402"/>
            <w:vAlign w:val="top"/>
          </w:tcPr>
          <w:p>
            <w:r/>
            <w:r>
              <w:rPr>
                <w:b w:val="0"/>
                <w:sz w:val="17"/>
              </w:rPr>
              <w:t>Probleme standard, reprezentări multiple, justificări scurte.</w:t>
            </w:r>
          </w:p>
        </w:tc>
        <w:tc>
          <w:tcPr>
            <w:tcW w:type="dxa" w:w="2835"/>
            <w:vAlign w:val="top"/>
          </w:tcPr>
          <w:p>
            <w:r/>
            <w:r>
              <w:rPr>
                <w:b w:val="0"/>
                <w:sz w:val="17"/>
              </w:rPr>
              <w:t>Alege metoda și explică pașii principali.</w:t>
            </w:r>
          </w:p>
        </w:tc>
      </w:tr>
      <w:tr>
        <w:tc>
          <w:tcPr>
            <w:tcW w:type="dxa" w:w="2268"/>
            <w:shd w:fill="F0FDF4"/>
            <w:vAlign w:val="top"/>
          </w:tcPr>
          <w:p>
            <w:r/>
            <w:r>
              <w:rPr>
                <w:b w:val="0"/>
                <w:sz w:val="17"/>
              </w:rPr>
              <w:t>Nivel 3 — aprofundare</w:t>
            </w:r>
          </w:p>
        </w:tc>
        <w:tc>
          <w:tcPr>
            <w:tcW w:type="dxa" w:w="2551"/>
            <w:vAlign w:val="top"/>
          </w:tcPr>
          <w:p>
            <w:r/>
            <w:r>
              <w:rPr>
                <w:b w:val="0"/>
                <w:sz w:val="17"/>
              </w:rPr>
              <w:t>Elevi cu ritm rapid sau interes STEM.</w:t>
            </w:r>
          </w:p>
        </w:tc>
        <w:tc>
          <w:tcPr>
            <w:tcW w:type="dxa" w:w="3402"/>
            <w:vAlign w:val="top"/>
          </w:tcPr>
          <w:p>
            <w:r/>
            <w:r>
              <w:rPr>
                <w:b w:val="0"/>
                <w:sz w:val="17"/>
              </w:rPr>
              <w:t>Parametri, demonstrații, proiecte, contraexemple.</w:t>
            </w:r>
          </w:p>
        </w:tc>
        <w:tc>
          <w:tcPr>
            <w:tcW w:type="dxa" w:w="2835"/>
            <w:vAlign w:val="top"/>
          </w:tcPr>
          <w:p>
            <w:r/>
            <w:r>
              <w:rPr>
                <w:b w:val="0"/>
                <w:sz w:val="17"/>
              </w:rPr>
              <w:t>Formulează ipoteze și argumentează complet.</w:t>
            </w:r>
          </w:p>
        </w:tc>
      </w:tr>
      <w:tr>
        <w:tc>
          <w:tcPr>
            <w:tcW w:type="dxa" w:w="2268"/>
            <w:shd w:fill="F0FDF4"/>
            <w:vAlign w:val="top"/>
          </w:tcPr>
          <w:p>
            <w:r/>
            <w:r>
              <w:rPr>
                <w:b w:val="0"/>
                <w:sz w:val="17"/>
              </w:rPr>
              <w:t>Nivel 4 — cercetare</w:t>
            </w:r>
          </w:p>
        </w:tc>
        <w:tc>
          <w:tcPr>
            <w:tcW w:type="dxa" w:w="2551"/>
            <w:vAlign w:val="top"/>
          </w:tcPr>
          <w:p>
            <w:r/>
            <w:r>
              <w:rPr>
                <w:b w:val="0"/>
                <w:sz w:val="17"/>
              </w:rPr>
              <w:t>Echipe avansate / ore la dispoziția profesorului.</w:t>
            </w:r>
          </w:p>
        </w:tc>
        <w:tc>
          <w:tcPr>
            <w:tcW w:type="dxa" w:w="3402"/>
            <w:vAlign w:val="top"/>
          </w:tcPr>
          <w:p>
            <w:r/>
            <w:r>
              <w:rPr>
                <w:b w:val="0"/>
                <w:sz w:val="17"/>
              </w:rPr>
              <w:t>Laboratoare, AMII, mini-proiecte, IA verificată.</w:t>
            </w:r>
          </w:p>
        </w:tc>
        <w:tc>
          <w:tcPr>
            <w:tcW w:type="dxa" w:w="2835"/>
            <w:vAlign w:val="top"/>
          </w:tcPr>
          <w:p>
            <w:r/>
            <w:r>
              <w:rPr>
                <w:b w:val="0"/>
                <w:sz w:val="17"/>
              </w:rPr>
              <w:t>Produce un rezultat propriu, comunicabil.</w:t>
            </w:r>
          </w:p>
        </w:tc>
      </w:tr>
    </w:tbl>
    <w:p>
      <w:pPr>
        <w:pStyle w:val="Heading1"/>
      </w:pPr>
      <w:r>
        <w:t>5. Evaluare, feedback și portofoliu</w:t>
      </w:r>
    </w:p>
    <w:p>
      <w:r>
        <w:t>Evaluarea în manualul TC+CS trebuie să măsoare progresul în rigoare, nu doar volumul de exerciții rezolvate. Se recomandă combinarea evaluării scrise cu produse de portofoliu, discuții de validare, proiecte și autoevaluare.</w:t>
      </w:r>
    </w:p>
    <w:tbl>
      <w:tblPr>
        <w:tblStyle w:val="TableGrid"/>
        <w:tblW w:type="auto" w:w="0"/>
        <w:jc w:val="center"/>
        <w:tblLook w:firstColumn="1" w:firstRow="1" w:lastColumn="0" w:lastRow="0" w:noHBand="0" w:noVBand="1" w:val="04A0"/>
      </w:tblPr>
      <w:tblGrid>
        <w:gridCol w:w="3475"/>
        <w:gridCol w:w="3475"/>
        <w:gridCol w:w="3475"/>
      </w:tblGrid>
      <w:tr>
        <w:tc>
          <w:tcPr>
            <w:tcW w:type="dxa" w:w="2268"/>
            <w:shd w:fill="0F766E"/>
            <w:vAlign w:val="top"/>
          </w:tcPr>
          <w:p>
            <w:r/>
            <w:r>
              <w:rPr>
                <w:b/>
                <w:color w:val="FFFFFF"/>
                <w:sz w:val="18"/>
              </w:rPr>
              <w:t>Instrument</w:t>
            </w:r>
          </w:p>
        </w:tc>
        <w:tc>
          <w:tcPr>
            <w:tcW w:type="dxa" w:w="3402"/>
            <w:shd w:fill="0F766E"/>
            <w:vAlign w:val="top"/>
          </w:tcPr>
          <w:p>
            <w:r/>
            <w:r>
              <w:rPr>
                <w:b/>
                <w:color w:val="FFFFFF"/>
                <w:sz w:val="18"/>
              </w:rPr>
              <w:t>Ce verifică</w:t>
            </w:r>
          </w:p>
        </w:tc>
        <w:tc>
          <w:tcPr>
            <w:tcW w:type="dxa" w:w="3969"/>
            <w:shd w:fill="0F766E"/>
            <w:vAlign w:val="top"/>
          </w:tcPr>
          <w:p>
            <w:r/>
            <w:r>
              <w:rPr>
                <w:b/>
                <w:color w:val="FFFFFF"/>
                <w:sz w:val="18"/>
              </w:rPr>
              <w:t>Cum se valorifică</w:t>
            </w:r>
          </w:p>
        </w:tc>
      </w:tr>
      <w:tr>
        <w:tc>
          <w:tcPr>
            <w:tcW w:type="dxa" w:w="2268"/>
            <w:shd w:fill="F0FDF4"/>
            <w:vAlign w:val="top"/>
          </w:tcPr>
          <w:p>
            <w:r/>
            <w:r>
              <w:rPr>
                <w:b w:val="0"/>
                <w:sz w:val="17"/>
              </w:rPr>
              <w:t>Test predictiv</w:t>
            </w:r>
          </w:p>
        </w:tc>
        <w:tc>
          <w:tcPr>
            <w:tcW w:type="dxa" w:w="3402"/>
            <w:vAlign w:val="top"/>
          </w:tcPr>
          <w:p>
            <w:r/>
            <w:r>
              <w:rPr>
                <w:b w:val="0"/>
                <w:sz w:val="17"/>
              </w:rPr>
              <w:t>Nivelul real de intrare și riscurile de învățare.</w:t>
            </w:r>
          </w:p>
        </w:tc>
        <w:tc>
          <w:tcPr>
            <w:tcW w:type="dxa" w:w="3969"/>
            <w:vAlign w:val="top"/>
          </w:tcPr>
          <w:p>
            <w:r/>
            <w:r>
              <w:rPr>
                <w:b w:val="0"/>
                <w:sz w:val="17"/>
              </w:rPr>
              <w:t>Nu se notează punitiv; fundamentează remedierea.</w:t>
            </w:r>
          </w:p>
        </w:tc>
      </w:tr>
      <w:tr>
        <w:tc>
          <w:tcPr>
            <w:tcW w:type="dxa" w:w="2268"/>
            <w:shd w:fill="F0FDF4"/>
            <w:vAlign w:val="top"/>
          </w:tcPr>
          <w:p>
            <w:r/>
            <w:r>
              <w:rPr>
                <w:b w:val="0"/>
                <w:sz w:val="17"/>
              </w:rPr>
              <w:t>Mini-verificări</w:t>
            </w:r>
          </w:p>
        </w:tc>
        <w:tc>
          <w:tcPr>
            <w:tcW w:type="dxa" w:w="3402"/>
            <w:vAlign w:val="top"/>
          </w:tcPr>
          <w:p>
            <w:r/>
            <w:r>
              <w:rPr>
                <w:b w:val="0"/>
                <w:sz w:val="17"/>
              </w:rPr>
              <w:t>Înțelegerea imediată a conceptului.</w:t>
            </w:r>
          </w:p>
        </w:tc>
        <w:tc>
          <w:tcPr>
            <w:tcW w:type="dxa" w:w="3969"/>
            <w:vAlign w:val="top"/>
          </w:tcPr>
          <w:p>
            <w:r/>
            <w:r>
              <w:rPr>
                <w:b w:val="0"/>
                <w:sz w:val="17"/>
              </w:rPr>
              <w:t>2–3 itemi la final de lecție, cu feedback rapid.</w:t>
            </w:r>
          </w:p>
        </w:tc>
      </w:tr>
      <w:tr>
        <w:tc>
          <w:tcPr>
            <w:tcW w:type="dxa" w:w="2268"/>
            <w:shd w:fill="F0FDF4"/>
            <w:vAlign w:val="top"/>
          </w:tcPr>
          <w:p>
            <w:r/>
            <w:r>
              <w:rPr>
                <w:b w:val="0"/>
                <w:sz w:val="17"/>
              </w:rPr>
              <w:t>Test de unitate</w:t>
            </w:r>
          </w:p>
        </w:tc>
        <w:tc>
          <w:tcPr>
            <w:tcW w:type="dxa" w:w="3402"/>
            <w:vAlign w:val="top"/>
          </w:tcPr>
          <w:p>
            <w:r/>
            <w:r>
              <w:rPr>
                <w:b w:val="0"/>
                <w:sz w:val="17"/>
              </w:rPr>
              <w:t>Integrarea conceptelor și transferul.</w:t>
            </w:r>
          </w:p>
        </w:tc>
        <w:tc>
          <w:tcPr>
            <w:tcW w:type="dxa" w:w="3969"/>
            <w:vAlign w:val="top"/>
          </w:tcPr>
          <w:p>
            <w:r/>
            <w:r>
              <w:rPr>
                <w:b w:val="0"/>
                <w:sz w:val="17"/>
              </w:rPr>
              <w:t>Analiza erorilor devine lecție de remediere.</w:t>
            </w:r>
          </w:p>
        </w:tc>
      </w:tr>
      <w:tr>
        <w:tc>
          <w:tcPr>
            <w:tcW w:type="dxa" w:w="2268"/>
            <w:shd w:fill="F0FDF4"/>
            <w:vAlign w:val="top"/>
          </w:tcPr>
          <w:p>
            <w:r/>
            <w:r>
              <w:rPr>
                <w:b w:val="0"/>
                <w:sz w:val="17"/>
              </w:rPr>
              <w:t>Portofoliu</w:t>
            </w:r>
          </w:p>
        </w:tc>
        <w:tc>
          <w:tcPr>
            <w:tcW w:type="dxa" w:w="3402"/>
            <w:vAlign w:val="top"/>
          </w:tcPr>
          <w:p>
            <w:r/>
            <w:r>
              <w:rPr>
                <w:b w:val="0"/>
                <w:sz w:val="17"/>
              </w:rPr>
              <w:t>Gândirea critică, reflecția, modelarea și argumentarea.</w:t>
            </w:r>
          </w:p>
        </w:tc>
        <w:tc>
          <w:tcPr>
            <w:tcW w:type="dxa" w:w="3969"/>
            <w:vAlign w:val="top"/>
          </w:tcPr>
          <w:p>
            <w:r/>
            <w:r>
              <w:rPr>
                <w:b w:val="0"/>
                <w:sz w:val="17"/>
              </w:rPr>
              <w:t>Se evaluează prin rubrică simplă: relevanță, rigoare, argumentare, claritate.</w:t>
            </w:r>
          </w:p>
        </w:tc>
      </w:tr>
      <w:tr>
        <w:tc>
          <w:tcPr>
            <w:tcW w:type="dxa" w:w="2268"/>
            <w:shd w:fill="F0FDF4"/>
            <w:vAlign w:val="top"/>
          </w:tcPr>
          <w:p>
            <w:r/>
            <w:r>
              <w:rPr>
                <w:b w:val="0"/>
                <w:sz w:val="17"/>
              </w:rPr>
              <w:t>Proiect</w:t>
            </w:r>
          </w:p>
        </w:tc>
        <w:tc>
          <w:tcPr>
            <w:tcW w:type="dxa" w:w="3402"/>
            <w:vAlign w:val="top"/>
          </w:tcPr>
          <w:p>
            <w:r/>
            <w:r>
              <w:rPr>
                <w:b w:val="0"/>
                <w:sz w:val="17"/>
              </w:rPr>
              <w:t>Modelare, colaborare, comunicare, utilizare de tehnologie.</w:t>
            </w:r>
          </w:p>
        </w:tc>
        <w:tc>
          <w:tcPr>
            <w:tcW w:type="dxa" w:w="3969"/>
            <w:vAlign w:val="top"/>
          </w:tcPr>
          <w:p>
            <w:r/>
            <w:r>
              <w:rPr>
                <w:b w:val="0"/>
                <w:sz w:val="17"/>
              </w:rPr>
              <w:t>Se cere produs final și justificarea alegerilor.</w:t>
            </w:r>
          </w:p>
        </w:tc>
      </w:tr>
      <w:tr>
        <w:tc>
          <w:tcPr>
            <w:tcW w:type="dxa" w:w="2268"/>
            <w:shd w:fill="F0FDF4"/>
            <w:vAlign w:val="top"/>
          </w:tcPr>
          <w:p>
            <w:r/>
            <w:r>
              <w:rPr>
                <w:b w:val="0"/>
                <w:sz w:val="17"/>
              </w:rPr>
              <w:t>AMII</w:t>
            </w:r>
          </w:p>
        </w:tc>
        <w:tc>
          <w:tcPr>
            <w:tcW w:type="dxa" w:w="3402"/>
            <w:vAlign w:val="top"/>
          </w:tcPr>
          <w:p>
            <w:r/>
            <w:r>
              <w:rPr>
                <w:b w:val="0"/>
                <w:sz w:val="17"/>
              </w:rPr>
              <w:t>Decizie, feedback imediat, explorare.</w:t>
            </w:r>
          </w:p>
        </w:tc>
        <w:tc>
          <w:tcPr>
            <w:tcW w:type="dxa" w:w="3969"/>
            <w:vAlign w:val="top"/>
          </w:tcPr>
          <w:p>
            <w:r/>
            <w:r>
              <w:rPr>
                <w:b w:val="0"/>
                <w:sz w:val="17"/>
              </w:rPr>
              <w:t>Rezultatul AMII poate fi punct de plecare pentru discuție, nu doar scor.</w:t>
            </w:r>
          </w:p>
        </w:tc>
      </w:tr>
    </w:tbl>
    <w:p>
      <w:pPr>
        <w:pStyle w:val="Heading1"/>
      </w:pPr>
      <w:r>
        <w:t>6. Recomandări metodice pe unități de învățare</w:t>
      </w:r>
    </w:p>
    <w:tbl>
      <w:tblPr>
        <w:tblStyle w:val="TableGrid"/>
        <w:tblW w:type="auto" w:w="0"/>
        <w:jc w:val="center"/>
        <w:tblLook w:firstColumn="1" w:firstRow="1" w:lastColumn="0" w:lastRow="0" w:noHBand="0" w:noVBand="1" w:val="04A0"/>
      </w:tblPr>
      <w:tblGrid>
        <w:gridCol w:w="2606"/>
        <w:gridCol w:w="2606"/>
        <w:gridCol w:w="2606"/>
        <w:gridCol w:w="2606"/>
      </w:tblGrid>
      <w:tr>
        <w:tc>
          <w:tcPr>
            <w:tcW w:type="dxa" w:w="1984"/>
            <w:shd w:fill="0F766E"/>
            <w:vAlign w:val="top"/>
          </w:tcPr>
          <w:p>
            <w:r/>
            <w:r>
              <w:rPr>
                <w:b/>
                <w:color w:val="FFFFFF"/>
                <w:sz w:val="18"/>
              </w:rPr>
              <w:t>Unitate</w:t>
            </w:r>
          </w:p>
        </w:tc>
        <w:tc>
          <w:tcPr>
            <w:tcW w:type="dxa" w:w="3685"/>
            <w:shd w:fill="0F766E"/>
            <w:vAlign w:val="top"/>
          </w:tcPr>
          <w:p>
            <w:r/>
            <w:r>
              <w:rPr>
                <w:b/>
                <w:color w:val="FFFFFF"/>
                <w:sz w:val="18"/>
              </w:rPr>
              <w:t>Accent metodic</w:t>
            </w:r>
          </w:p>
        </w:tc>
        <w:tc>
          <w:tcPr>
            <w:tcW w:type="dxa" w:w="2835"/>
            <w:shd w:fill="0F766E"/>
            <w:vAlign w:val="top"/>
          </w:tcPr>
          <w:p>
            <w:r/>
            <w:r>
              <w:rPr>
                <w:b/>
                <w:color w:val="FFFFFF"/>
                <w:sz w:val="18"/>
              </w:rPr>
              <w:t>Noduri de atenție</w:t>
            </w:r>
          </w:p>
        </w:tc>
        <w:tc>
          <w:tcPr>
            <w:tcW w:type="dxa" w:w="2268"/>
            <w:shd w:fill="0F766E"/>
            <w:vAlign w:val="top"/>
          </w:tcPr>
          <w:p>
            <w:r/>
            <w:r>
              <w:rPr>
                <w:b/>
                <w:color w:val="FFFFFF"/>
                <w:sz w:val="18"/>
              </w:rPr>
              <w:t>Resurse</w:t>
            </w:r>
          </w:p>
        </w:tc>
      </w:tr>
      <w:tr>
        <w:tc>
          <w:tcPr>
            <w:tcW w:type="dxa" w:w="1984"/>
            <w:shd w:fill="F0FDF4"/>
            <w:vAlign w:val="top"/>
          </w:tcPr>
          <w:p>
            <w:r/>
            <w:r>
              <w:rPr>
                <w:b w:val="0"/>
                <w:sz w:val="17"/>
              </w:rPr>
              <w:t>UÎ1 Logică</w:t>
            </w:r>
          </w:p>
        </w:tc>
        <w:tc>
          <w:tcPr>
            <w:tcW w:type="dxa" w:w="3685"/>
            <w:vAlign w:val="top"/>
          </w:tcPr>
          <w:p>
            <w:r/>
            <w:r>
              <w:rPr>
                <w:b w:val="0"/>
                <w:sz w:val="17"/>
              </w:rPr>
              <w:t>Nu este suficient ca elevul să recunoască operatorii; trebuie să poată verifica un argument.</w:t>
            </w:r>
          </w:p>
        </w:tc>
        <w:tc>
          <w:tcPr>
            <w:tcW w:type="dxa" w:w="2835"/>
            <w:vAlign w:val="top"/>
          </w:tcPr>
          <w:p>
            <w:r/>
            <w:r>
              <w:rPr>
                <w:b w:val="0"/>
                <w:sz w:val="17"/>
              </w:rPr>
              <w:t>tabele de adevăr, contraexemple, negații, inducție</w:t>
            </w:r>
          </w:p>
        </w:tc>
        <w:tc>
          <w:tcPr>
            <w:tcW w:type="dxa" w:w="2268"/>
            <w:vAlign w:val="top"/>
          </w:tcPr>
          <w:p>
            <w:r/>
            <w:r>
              <w:rPr>
                <w:b w:val="0"/>
                <w:sz w:val="17"/>
              </w:rPr>
              <w:t>AMII 1–6, JOC 1</w:t>
            </w:r>
          </w:p>
        </w:tc>
      </w:tr>
      <w:tr>
        <w:tc>
          <w:tcPr>
            <w:tcW w:type="dxa" w:w="1984"/>
            <w:shd w:fill="F0FDF4"/>
            <w:vAlign w:val="top"/>
          </w:tcPr>
          <w:p>
            <w:r/>
            <w:r>
              <w:rPr>
                <w:b w:val="0"/>
                <w:sz w:val="17"/>
              </w:rPr>
              <w:t>UÎ2 Progresii</w:t>
            </w:r>
          </w:p>
        </w:tc>
        <w:tc>
          <w:tcPr>
            <w:tcW w:type="dxa" w:w="3685"/>
            <w:vAlign w:val="top"/>
          </w:tcPr>
          <w:p>
            <w:r/>
            <w:r>
              <w:rPr>
                <w:b w:val="0"/>
                <w:sz w:val="17"/>
              </w:rPr>
              <w:t>Transformă progresiile în modele de creștere și decizie, nu doar în formule.</w:t>
            </w:r>
          </w:p>
        </w:tc>
        <w:tc>
          <w:tcPr>
            <w:tcW w:type="dxa" w:w="2835"/>
            <w:vAlign w:val="top"/>
          </w:tcPr>
          <w:p>
            <w:r/>
            <w:r>
              <w:rPr>
                <w:b w:val="0"/>
                <w:sz w:val="17"/>
              </w:rPr>
              <w:t>linear vs multiplicativ, dobândă, algoritmi</w:t>
            </w:r>
          </w:p>
        </w:tc>
        <w:tc>
          <w:tcPr>
            <w:tcW w:type="dxa" w:w="2268"/>
            <w:vAlign w:val="top"/>
          </w:tcPr>
          <w:p>
            <w:r/>
            <w:r>
              <w:rPr>
                <w:b w:val="0"/>
                <w:sz w:val="17"/>
              </w:rPr>
              <w:t>AMII 7–9, JOC 2</w:t>
            </w:r>
          </w:p>
        </w:tc>
      </w:tr>
      <w:tr>
        <w:tc>
          <w:tcPr>
            <w:tcW w:type="dxa" w:w="1984"/>
            <w:shd w:fill="F0FDF4"/>
            <w:vAlign w:val="top"/>
          </w:tcPr>
          <w:p>
            <w:r/>
            <w:r>
              <w:rPr>
                <w:b w:val="0"/>
                <w:sz w:val="17"/>
              </w:rPr>
              <w:t>UÎ3 Funcții generale</w:t>
            </w:r>
          </w:p>
        </w:tc>
        <w:tc>
          <w:tcPr>
            <w:tcW w:type="dxa" w:w="3685"/>
            <w:vAlign w:val="top"/>
          </w:tcPr>
          <w:p>
            <w:r/>
            <w:r>
              <w:rPr>
                <w:b w:val="0"/>
                <w:sz w:val="17"/>
              </w:rPr>
              <w:t>Insistă pe domeniu, imagine, grafic, compunere, injectivitate/surjectivitate.</w:t>
            </w:r>
          </w:p>
        </w:tc>
        <w:tc>
          <w:tcPr>
            <w:tcW w:type="dxa" w:w="2835"/>
            <w:vAlign w:val="top"/>
          </w:tcPr>
          <w:p>
            <w:r/>
            <w:r>
              <w:rPr>
                <w:b w:val="0"/>
                <w:sz w:val="17"/>
              </w:rPr>
              <w:t>lectură grafică, Avioane carteziene, portofoliu</w:t>
            </w:r>
          </w:p>
        </w:tc>
        <w:tc>
          <w:tcPr>
            <w:tcW w:type="dxa" w:w="2268"/>
            <w:vAlign w:val="top"/>
          </w:tcPr>
          <w:p>
            <w:r/>
            <w:r>
              <w:rPr>
                <w:b w:val="0"/>
                <w:sz w:val="17"/>
              </w:rPr>
              <w:t>AMII 10–16, JOC 3</w:t>
            </w:r>
          </w:p>
        </w:tc>
      </w:tr>
      <w:tr>
        <w:tc>
          <w:tcPr>
            <w:tcW w:type="dxa" w:w="1984"/>
            <w:shd w:fill="F0FDF4"/>
            <w:vAlign w:val="top"/>
          </w:tcPr>
          <w:p>
            <w:r/>
            <w:r>
              <w:rPr>
                <w:b w:val="0"/>
                <w:sz w:val="17"/>
              </w:rPr>
              <w:t>UÎ4 Funcția de gradul II</w:t>
            </w:r>
          </w:p>
        </w:tc>
        <w:tc>
          <w:tcPr>
            <w:tcW w:type="dxa" w:w="3685"/>
            <w:vAlign w:val="top"/>
          </w:tcPr>
          <w:p>
            <w:r/>
            <w:r>
              <w:rPr>
                <w:b w:val="0"/>
                <w:sz w:val="17"/>
              </w:rPr>
              <w:t>Parabola trebuie citită simultan algebric, grafic și contextual.</w:t>
            </w:r>
          </w:p>
        </w:tc>
        <w:tc>
          <w:tcPr>
            <w:tcW w:type="dxa" w:w="2835"/>
            <w:vAlign w:val="top"/>
          </w:tcPr>
          <w:p>
            <w:r/>
            <w:r>
              <w:rPr>
                <w:b w:val="0"/>
                <w:sz w:val="17"/>
              </w:rPr>
              <w:t>vârf, discriminant, inecuații, sisteme, parametri</w:t>
            </w:r>
          </w:p>
        </w:tc>
        <w:tc>
          <w:tcPr>
            <w:tcW w:type="dxa" w:w="2268"/>
            <w:vAlign w:val="top"/>
          </w:tcPr>
          <w:p>
            <w:r/>
            <w:r>
              <w:rPr>
                <w:b w:val="0"/>
                <w:sz w:val="17"/>
              </w:rPr>
              <w:t>AMII 17–19</w:t>
            </w:r>
          </w:p>
        </w:tc>
      </w:tr>
      <w:tr>
        <w:tc>
          <w:tcPr>
            <w:tcW w:type="dxa" w:w="1984"/>
            <w:shd w:fill="F0FDF4"/>
            <w:vAlign w:val="top"/>
          </w:tcPr>
          <w:p>
            <w:r/>
            <w:r>
              <w:rPr>
                <w:b w:val="0"/>
                <w:sz w:val="17"/>
              </w:rPr>
              <w:t>UÎ5 Putere/radical</w:t>
            </w:r>
          </w:p>
        </w:tc>
        <w:tc>
          <w:tcPr>
            <w:tcW w:type="dxa" w:w="3685"/>
            <w:vAlign w:val="top"/>
          </w:tcPr>
          <w:p>
            <w:r/>
            <w:r>
              <w:rPr>
                <w:b w:val="0"/>
                <w:sz w:val="17"/>
              </w:rPr>
              <w:t>Executarea algoritmului trebuie dublată de înțelegerea condițiilor de existență.</w:t>
            </w:r>
          </w:p>
        </w:tc>
        <w:tc>
          <w:tcPr>
            <w:tcW w:type="dxa" w:w="2835"/>
            <w:vAlign w:val="top"/>
          </w:tcPr>
          <w:p>
            <w:r/>
            <w:r>
              <w:rPr>
                <w:b w:val="0"/>
                <w:sz w:val="17"/>
              </w:rPr>
              <w:t>domeniu, raționalizare, funcția radical, IA</w:t>
            </w:r>
          </w:p>
        </w:tc>
        <w:tc>
          <w:tcPr>
            <w:tcW w:type="dxa" w:w="2268"/>
            <w:vAlign w:val="top"/>
          </w:tcPr>
          <w:p>
            <w:r/>
            <w:r>
              <w:rPr>
                <w:b w:val="0"/>
                <w:sz w:val="17"/>
              </w:rPr>
              <w:t>AMII 20–22</w:t>
            </w:r>
          </w:p>
        </w:tc>
      </w:tr>
      <w:tr>
        <w:tc>
          <w:tcPr>
            <w:tcW w:type="dxa" w:w="1984"/>
            <w:shd w:fill="F0FDF4"/>
            <w:vAlign w:val="top"/>
          </w:tcPr>
          <w:p>
            <w:r/>
            <w:r>
              <w:rPr>
                <w:b w:val="0"/>
                <w:sz w:val="17"/>
              </w:rPr>
              <w:t>UÎ6 Trigonometrie</w:t>
            </w:r>
          </w:p>
        </w:tc>
        <w:tc>
          <w:tcPr>
            <w:tcW w:type="dxa" w:w="3685"/>
            <w:vAlign w:val="top"/>
          </w:tcPr>
          <w:p>
            <w:r/>
            <w:r>
              <w:rPr>
                <w:b w:val="0"/>
                <w:sz w:val="17"/>
              </w:rPr>
              <w:t>Cercul trigonometric trebuie legat permanent de grafic și periodicitate.</w:t>
            </w:r>
          </w:p>
        </w:tc>
        <w:tc>
          <w:tcPr>
            <w:tcW w:type="dxa" w:w="2835"/>
            <w:vAlign w:val="top"/>
          </w:tcPr>
          <w:p>
            <w:r/>
            <w:r>
              <w:rPr>
                <w:b w:val="0"/>
                <w:sz w:val="17"/>
              </w:rPr>
              <w:t>cadrane, formule, ecuații, demonstrații</w:t>
            </w:r>
          </w:p>
        </w:tc>
        <w:tc>
          <w:tcPr>
            <w:tcW w:type="dxa" w:w="2268"/>
            <w:vAlign w:val="top"/>
          </w:tcPr>
          <w:p>
            <w:r/>
            <w:r>
              <w:rPr>
                <w:b w:val="0"/>
                <w:sz w:val="17"/>
              </w:rPr>
              <w:t>AMII 23–26, JOC 4</w:t>
            </w:r>
          </w:p>
        </w:tc>
      </w:tr>
      <w:tr>
        <w:tc>
          <w:tcPr>
            <w:tcW w:type="dxa" w:w="1984"/>
            <w:shd w:fill="F0FDF4"/>
            <w:vAlign w:val="top"/>
          </w:tcPr>
          <w:p>
            <w:r/>
            <w:r>
              <w:rPr>
                <w:b w:val="0"/>
                <w:sz w:val="17"/>
              </w:rPr>
              <w:t>UÎ7 Aplicații</w:t>
            </w:r>
          </w:p>
        </w:tc>
        <w:tc>
          <w:tcPr>
            <w:tcW w:type="dxa" w:w="3685"/>
            <w:vAlign w:val="top"/>
          </w:tcPr>
          <w:p>
            <w:r/>
            <w:r>
              <w:rPr>
                <w:b w:val="0"/>
                <w:sz w:val="17"/>
              </w:rPr>
              <w:t>Elevul trebuie să aleagă metoda și să interpreteze ce înseamnă optim în model.</w:t>
            </w:r>
          </w:p>
        </w:tc>
        <w:tc>
          <w:tcPr>
            <w:tcW w:type="dxa" w:w="2835"/>
            <w:vAlign w:val="top"/>
          </w:tcPr>
          <w:p>
            <w:r/>
            <w:r>
              <w:rPr>
                <w:b w:val="0"/>
                <w:sz w:val="17"/>
              </w:rPr>
              <w:t>teoreme metrice, arii, triangulație, decizie</w:t>
            </w:r>
          </w:p>
        </w:tc>
        <w:tc>
          <w:tcPr>
            <w:tcW w:type="dxa" w:w="2268"/>
            <w:vAlign w:val="top"/>
          </w:tcPr>
          <w:p>
            <w:r/>
            <w:r>
              <w:rPr>
                <w:b w:val="0"/>
                <w:sz w:val="17"/>
              </w:rPr>
              <w:t>AMII 27–30, JOC 5</w:t>
            </w:r>
          </w:p>
        </w:tc>
      </w:tr>
    </w:tbl>
    <w:p>
      <w:pPr>
        <w:pStyle w:val="Heading1"/>
      </w:pPr>
      <w:r>
        <w:t>7. Utilizarea celor 36 de ore la dispoziția profesorului</w:t>
      </w:r>
    </w:p>
    <w:p>
      <w:r>
        <w:t>Cele 36 de ore nu sunt „timp liber”, ci mecanismul de reglare a parcursului TC+CS. În planificare, ele sunt distribuite pentru diagnostic, remediere, aprofundare, proiecte, activități digitale, portofoliu și evaluare formativă.</w:t>
      </w:r>
    </w:p>
    <w:tbl>
      <w:tblPr>
        <w:tblStyle w:val="TableGrid"/>
        <w:tblW w:type="auto" w:w="0"/>
        <w:jc w:val="center"/>
        <w:tblLook w:firstColumn="1" w:firstRow="1" w:lastColumn="0" w:lastRow="0" w:noHBand="0" w:noVBand="1" w:val="04A0"/>
      </w:tblPr>
      <w:tblGrid>
        <w:gridCol w:w="3475"/>
        <w:gridCol w:w="3475"/>
        <w:gridCol w:w="3475"/>
      </w:tblGrid>
      <w:tr>
        <w:tc>
          <w:tcPr>
            <w:tcW w:type="dxa" w:w="2835"/>
            <w:shd w:fill="0F766E"/>
            <w:vAlign w:val="top"/>
          </w:tcPr>
          <w:p>
            <w:r/>
            <w:r>
              <w:rPr>
                <w:b/>
                <w:color w:val="FFFFFF"/>
                <w:sz w:val="18"/>
              </w:rPr>
              <w:t>Destinație</w:t>
            </w:r>
          </w:p>
        </w:tc>
        <w:tc>
          <w:tcPr>
            <w:tcW w:type="dxa" w:w="1701"/>
            <w:shd w:fill="0F766E"/>
            <w:vAlign w:val="top"/>
          </w:tcPr>
          <w:p>
            <w:r/>
            <w:r>
              <w:rPr>
                <w:b/>
                <w:color w:val="FFFFFF"/>
                <w:sz w:val="18"/>
              </w:rPr>
              <w:t>Nr. orientativ ore</w:t>
            </w:r>
          </w:p>
        </w:tc>
        <w:tc>
          <w:tcPr>
            <w:tcW w:type="dxa" w:w="5669"/>
            <w:shd w:fill="0F766E"/>
            <w:vAlign w:val="top"/>
          </w:tcPr>
          <w:p>
            <w:r/>
            <w:r>
              <w:rPr>
                <w:b/>
                <w:color w:val="FFFFFF"/>
                <w:sz w:val="18"/>
              </w:rPr>
              <w:t>Exemple</w:t>
            </w:r>
          </w:p>
        </w:tc>
      </w:tr>
      <w:tr>
        <w:tc>
          <w:tcPr>
            <w:tcW w:type="dxa" w:w="2835"/>
            <w:shd w:fill="F0FDF4"/>
            <w:vAlign w:val="top"/>
          </w:tcPr>
          <w:p>
            <w:r/>
            <w:r>
              <w:rPr>
                <w:b w:val="0"/>
                <w:sz w:val="17"/>
              </w:rPr>
              <w:t>Diagnostic și reglare inițială</w:t>
            </w:r>
          </w:p>
        </w:tc>
        <w:tc>
          <w:tcPr>
            <w:tcW w:type="dxa" w:w="1701"/>
            <w:vAlign w:val="top"/>
          </w:tcPr>
          <w:p>
            <w:r/>
            <w:r>
              <w:rPr>
                <w:b w:val="0"/>
                <w:sz w:val="17"/>
              </w:rPr>
              <w:t>2</w:t>
            </w:r>
          </w:p>
        </w:tc>
        <w:tc>
          <w:tcPr>
            <w:tcW w:type="dxa" w:w="5669"/>
            <w:vAlign w:val="top"/>
          </w:tcPr>
          <w:p>
            <w:r/>
            <w:r>
              <w:rPr>
                <w:b w:val="0"/>
                <w:sz w:val="17"/>
              </w:rPr>
              <w:t>Test predictiv, analiza erorilor, stabilirea traseelor.</w:t>
            </w:r>
          </w:p>
        </w:tc>
      </w:tr>
      <w:tr>
        <w:tc>
          <w:tcPr>
            <w:tcW w:type="dxa" w:w="2835"/>
            <w:shd w:fill="F0FDF4"/>
            <w:vAlign w:val="top"/>
          </w:tcPr>
          <w:p>
            <w:r/>
            <w:r>
              <w:rPr>
                <w:b w:val="0"/>
                <w:sz w:val="17"/>
              </w:rPr>
              <w:t>Remediere și consolidare</w:t>
            </w:r>
          </w:p>
        </w:tc>
        <w:tc>
          <w:tcPr>
            <w:tcW w:type="dxa" w:w="1701"/>
            <w:vAlign w:val="top"/>
          </w:tcPr>
          <w:p>
            <w:r/>
            <w:r>
              <w:rPr>
                <w:b w:val="0"/>
                <w:sz w:val="17"/>
              </w:rPr>
              <w:t>10–12</w:t>
            </w:r>
          </w:p>
        </w:tc>
        <w:tc>
          <w:tcPr>
            <w:tcW w:type="dxa" w:w="5669"/>
            <w:vAlign w:val="top"/>
          </w:tcPr>
          <w:p>
            <w:r/>
            <w:r>
              <w:rPr>
                <w:b w:val="0"/>
                <w:sz w:val="17"/>
              </w:rPr>
              <w:t>Operatori logici, domeniu/imagine, radicali, formule trigonometrice.</w:t>
            </w:r>
          </w:p>
        </w:tc>
      </w:tr>
      <w:tr>
        <w:tc>
          <w:tcPr>
            <w:tcW w:type="dxa" w:w="2835"/>
            <w:shd w:fill="F0FDF4"/>
            <w:vAlign w:val="top"/>
          </w:tcPr>
          <w:p>
            <w:r/>
            <w:r>
              <w:rPr>
                <w:b w:val="0"/>
                <w:sz w:val="17"/>
              </w:rPr>
              <w:t>Progres și performanță</w:t>
            </w:r>
          </w:p>
        </w:tc>
        <w:tc>
          <w:tcPr>
            <w:tcW w:type="dxa" w:w="1701"/>
            <w:vAlign w:val="top"/>
          </w:tcPr>
          <w:p>
            <w:r/>
            <w:r>
              <w:rPr>
                <w:b w:val="0"/>
                <w:sz w:val="17"/>
              </w:rPr>
              <w:t>8–10</w:t>
            </w:r>
          </w:p>
        </w:tc>
        <w:tc>
          <w:tcPr>
            <w:tcW w:type="dxa" w:w="5669"/>
            <w:vAlign w:val="top"/>
          </w:tcPr>
          <w:p>
            <w:r/>
            <w:r>
              <w:rPr>
                <w:b w:val="0"/>
                <w:sz w:val="17"/>
              </w:rPr>
              <w:t>Parametri, demonstrații, probleme integrate, cercetare.</w:t>
            </w:r>
          </w:p>
        </w:tc>
      </w:tr>
      <w:tr>
        <w:tc>
          <w:tcPr>
            <w:tcW w:type="dxa" w:w="2835"/>
            <w:shd w:fill="F0FDF4"/>
            <w:vAlign w:val="top"/>
          </w:tcPr>
          <w:p>
            <w:r/>
            <w:r>
              <w:rPr>
                <w:b w:val="0"/>
                <w:sz w:val="17"/>
              </w:rPr>
              <w:t>AMII și jocuri de strategie</w:t>
            </w:r>
          </w:p>
        </w:tc>
        <w:tc>
          <w:tcPr>
            <w:tcW w:type="dxa" w:w="1701"/>
            <w:vAlign w:val="top"/>
          </w:tcPr>
          <w:p>
            <w:r/>
            <w:r>
              <w:rPr>
                <w:b w:val="0"/>
                <w:sz w:val="17"/>
              </w:rPr>
              <w:t>5–6</w:t>
            </w:r>
          </w:p>
        </w:tc>
        <w:tc>
          <w:tcPr>
            <w:tcW w:type="dxa" w:w="5669"/>
            <w:vAlign w:val="top"/>
          </w:tcPr>
          <w:p>
            <w:r/>
            <w:r>
              <w:rPr>
                <w:b w:val="0"/>
                <w:sz w:val="17"/>
              </w:rPr>
              <w:t>Avioane carteziene, radar trigonometric, misiunea triangulației.</w:t>
            </w:r>
          </w:p>
        </w:tc>
      </w:tr>
      <w:tr>
        <w:tc>
          <w:tcPr>
            <w:tcW w:type="dxa" w:w="2835"/>
            <w:shd w:fill="F0FDF4"/>
            <w:vAlign w:val="top"/>
          </w:tcPr>
          <w:p>
            <w:r/>
            <w:r>
              <w:rPr>
                <w:b w:val="0"/>
                <w:sz w:val="17"/>
              </w:rPr>
              <w:t>Portofoliu și proiecte</w:t>
            </w:r>
          </w:p>
        </w:tc>
        <w:tc>
          <w:tcPr>
            <w:tcW w:type="dxa" w:w="1701"/>
            <w:vAlign w:val="top"/>
          </w:tcPr>
          <w:p>
            <w:r/>
            <w:r>
              <w:rPr>
                <w:b w:val="0"/>
                <w:sz w:val="17"/>
              </w:rPr>
              <w:t>6–8</w:t>
            </w:r>
          </w:p>
        </w:tc>
        <w:tc>
          <w:tcPr>
            <w:tcW w:type="dxa" w:w="5669"/>
            <w:vAlign w:val="top"/>
          </w:tcPr>
          <w:p>
            <w:r/>
            <w:r>
              <w:rPr>
                <w:b w:val="0"/>
                <w:sz w:val="17"/>
              </w:rPr>
              <w:t>Matematica sub semnul întrebării, parabole în mișcare, modelare.</w:t>
            </w:r>
          </w:p>
        </w:tc>
      </w:tr>
      <w:tr>
        <w:tc>
          <w:tcPr>
            <w:tcW w:type="dxa" w:w="2835"/>
            <w:shd w:fill="F0FDF4"/>
            <w:vAlign w:val="top"/>
          </w:tcPr>
          <w:p>
            <w:r/>
            <w:r>
              <w:rPr>
                <w:b w:val="0"/>
                <w:sz w:val="17"/>
              </w:rPr>
              <w:t>Evaluare-feedback</w:t>
            </w:r>
          </w:p>
        </w:tc>
        <w:tc>
          <w:tcPr>
            <w:tcW w:type="dxa" w:w="1701"/>
            <w:vAlign w:val="top"/>
          </w:tcPr>
          <w:p>
            <w:r/>
            <w:r>
              <w:rPr>
                <w:b w:val="0"/>
                <w:sz w:val="17"/>
              </w:rPr>
              <w:t>4–6</w:t>
            </w:r>
          </w:p>
        </w:tc>
        <w:tc>
          <w:tcPr>
            <w:tcW w:type="dxa" w:w="5669"/>
            <w:vAlign w:val="top"/>
          </w:tcPr>
          <w:p>
            <w:r/>
            <w:r>
              <w:rPr>
                <w:b w:val="0"/>
                <w:sz w:val="17"/>
              </w:rPr>
              <w:t>Teste de unitate, feedback, corectarea erorilor tipice.</w:t>
            </w:r>
          </w:p>
        </w:tc>
      </w:tr>
    </w:tbl>
    <w:p>
      <w:pPr>
        <w:pStyle w:val="Heading1"/>
      </w:pPr>
      <w:r>
        <w:t>8. Checklist rapid pentru profesor</w:t>
      </w:r>
    </w:p>
    <w:p>
      <w:pPr>
        <w:ind w:left="227"/>
      </w:pPr>
      <w:r>
        <w:rPr>
          <w:b/>
        </w:rPr>
        <w:t xml:space="preserve">☐ </w:t>
      </w:r>
      <w:r>
        <w:t>Am folosit deschiderea lecției pentru a formula o întrebare reală?</w:t>
      </w:r>
    </w:p>
    <w:p>
      <w:pPr>
        <w:ind w:left="227"/>
      </w:pPr>
      <w:r>
        <w:rPr>
          <w:b/>
        </w:rPr>
        <w:t xml:space="preserve">☐ </w:t>
      </w:r>
      <w:r>
        <w:t>Am construit conceptul înainte de a formaliza definiția?</w:t>
      </w:r>
    </w:p>
    <w:p>
      <w:pPr>
        <w:ind w:left="227"/>
      </w:pPr>
      <w:r>
        <w:rPr>
          <w:b/>
        </w:rPr>
        <w:t xml:space="preserve">☐ </w:t>
      </w:r>
      <w:r>
        <w:t>Am cerut elevilor să justifice, nu doar să calculeze?</w:t>
      </w:r>
    </w:p>
    <w:p>
      <w:pPr>
        <w:ind w:left="227"/>
      </w:pPr>
      <w:r>
        <w:rPr>
          <w:b/>
        </w:rPr>
        <w:t xml:space="preserve">☐ </w:t>
      </w:r>
      <w:r>
        <w:t>Am diferențiat sarcinile pe minimum două trasee?</w:t>
      </w:r>
    </w:p>
    <w:p>
      <w:pPr>
        <w:ind w:left="227"/>
      </w:pPr>
      <w:r>
        <w:rPr>
          <w:b/>
        </w:rPr>
        <w:t xml:space="preserve">☐ </w:t>
      </w:r>
      <w:r>
        <w:t>Am folosit tehnologia doar acolo unde produce înțelegere, nu doar efect vizual?</w:t>
      </w:r>
    </w:p>
    <w:p>
      <w:pPr>
        <w:ind w:left="227"/>
      </w:pPr>
      <w:r>
        <w:rPr>
          <w:b/>
        </w:rPr>
        <w:t xml:space="preserve">☐ </w:t>
      </w:r>
      <w:r>
        <w:t>Am planificat cel puțin un moment de portofoliu pe unitate?</w:t>
      </w:r>
    </w:p>
    <w:p>
      <w:pPr>
        <w:ind w:left="227"/>
      </w:pPr>
      <w:r>
        <w:rPr>
          <w:b/>
        </w:rPr>
        <w:t xml:space="preserve">☐ </w:t>
      </w:r>
      <w:r>
        <w:t>Am valorificat erorile ca resursă didactică?</w:t>
      </w:r>
    </w:p>
    <w:p>
      <w:pPr>
        <w:ind w:left="227"/>
      </w:pPr>
      <w:r>
        <w:rPr>
          <w:b/>
        </w:rPr>
        <w:t xml:space="preserve">☐ </w:t>
      </w:r>
      <w:r>
        <w:t>Am conectat rezultatul matematic cu sensul lui în context?</w:t>
      </w:r>
    </w:p>
    <w:p>
      <w:pPr>
        <w:ind w:left="227"/>
      </w:pPr>
      <w:r>
        <w:rPr>
          <w:b/>
        </w:rPr>
        <w:t xml:space="preserve">☐ </w:t>
      </w:r>
      <w:r>
        <w:t>Am revenit la competențe, nu doar la conținuturi?</w:t>
      </w:r>
    </w:p>
    <w:p>
      <w:pPr>
        <w:ind w:left="227"/>
      </w:pPr>
      <w:r>
        <w:rPr>
          <w:b/>
        </w:rPr>
        <w:t xml:space="preserve">☐ </w:t>
      </w:r>
      <w:r>
        <w:t>Am creat un moment în care elevul să poată spune: «Nu m-am gândit la asta!»?</w:t>
      </w:r>
    </w:p>
    <w:tbl>
      <w:tblPr>
        <w:tblW w:type="auto" w:w="0"/>
        <w:jc w:val="center"/>
        <w:tblLook w:firstColumn="1" w:firstRow="1" w:lastColumn="0" w:lastRow="0" w:noHBand="0" w:noVBand="1" w:val="04A0"/>
      </w:tblPr>
      <w:tblGrid>
        <w:gridCol w:w="10426"/>
      </w:tblGrid>
      <w:tr>
        <w:tc>
          <w:tcPr>
            <w:tcW w:type="dxa" w:w="10426"/>
            <w:shd w:fill="DBEAFE"/>
          </w:tcPr>
          <w:p>
            <w:r>
              <w:rPr>
                <w:b/>
                <w:color w:val="0F766E"/>
                <w:sz w:val="22"/>
              </w:rPr>
              <w:t>Mesaj final</w:t>
            </w:r>
          </w:p>
          <w:p>
            <w:pPr>
              <w:spacing w:after="40"/>
            </w:pPr>
            <w:r>
              <w:t>Profesorul care folosește acest manual nu predă doar formule. El creează contexte în care elevii învață să gândească matematic: să observe, să întrebe, să demonstreze, să modeleze, să valideze și să decidă. Într-o lume în care răspunsurile pot fi generate rapid, valoarea formativă a matematicii rămâne capacitatea de a formula întrebări bune și de a verifica riguros răspunsurile.</w:t>
            </w:r>
          </w:p>
        </w:tc>
      </w:tr>
    </w:tbl>
    <w:sectPr w:rsidR="00FC693F" w:rsidRPr="0006063C" w:rsidSect="00034616">
      <w:headerReference w:type="default" r:id="rId9"/>
      <w:footerReference w:type="default" r:id="rId10"/>
      <w:pgSz w:w="12240" w:h="15840"/>
      <w:pgMar w:top="794" w:right="907" w:bottom="73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Pagina </w:t>
    </w:r>
    <w:r>
      <w:fldChar w:fldCharType="begin"/>
      <w:instrText>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748B"/>
        <w:sz w:val="16"/>
      </w:rPr>
      <w:t>Ghidul profesorului · Matematică IX (TC+CS) · Specializarea Matematică–Informatică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2315E"/>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0F766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1E40A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